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C5" w:rsidRPr="00992B81" w:rsidRDefault="00D333C5" w:rsidP="00992B8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2B8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333C5" w:rsidRPr="00992B81" w:rsidRDefault="00D333C5" w:rsidP="00992B8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2B8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333C5" w:rsidRPr="00992B81" w:rsidRDefault="00D333C5" w:rsidP="00992B8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2B81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D333C5" w:rsidRDefault="00992B81" w:rsidP="00992B8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Имекского сельсовета</w:t>
      </w:r>
    </w:p>
    <w:p w:rsidR="00992B81" w:rsidRPr="00992B81" w:rsidRDefault="00992B81" w:rsidP="00992B8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33C5" w:rsidRPr="00992B81" w:rsidRDefault="00D333C5" w:rsidP="00992B8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2B81" w:rsidRDefault="00D333C5" w:rsidP="00992B8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992B81" w:rsidRDefault="00992B81" w:rsidP="00992B8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2B81" w:rsidRPr="00992B81" w:rsidRDefault="00992B81" w:rsidP="00992B8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33C5" w:rsidRPr="00992B81" w:rsidRDefault="00992B81" w:rsidP="00992B81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07.08.2020                                                 с. Имек                                                        № 100</w:t>
      </w:r>
    </w:p>
    <w:p w:rsidR="00D333C5" w:rsidRPr="00992B81" w:rsidRDefault="00D333C5" w:rsidP="00992B8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333C5" w:rsidRPr="00992B81" w:rsidRDefault="00D333C5" w:rsidP="00992B8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Об утверждении </w:t>
      </w:r>
      <w:r w:rsidR="002D50AD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П</w:t>
      </w:r>
      <w:r w:rsidRPr="00992B8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орядка предоставления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 инвесторам инвестиционных проектов </w:t>
      </w:r>
    </w:p>
    <w:p w:rsidR="00D333C5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муниципальных гарантий</w:t>
      </w:r>
      <w:r w:rsidR="002D50AD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  в Администрации</w:t>
      </w:r>
    </w:p>
    <w:p w:rsidR="002D50AD" w:rsidRPr="00992B81" w:rsidRDefault="002D50AD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Имекского сельсовета</w:t>
      </w:r>
    </w:p>
    <w:p w:rsidR="00D333C5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992B81" w:rsidRPr="00992B81" w:rsidRDefault="00992B81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sz w:val="26"/>
          <w:szCs w:val="26"/>
          <w:highlight w:val="white"/>
        </w:rPr>
        <w:t xml:space="preserve">   </w:t>
      </w:r>
      <w:r w:rsidR="00992B81">
        <w:rPr>
          <w:rFonts w:ascii="Times New Roman" w:hAnsi="Times New Roman" w:cs="Times New Roman"/>
          <w:sz w:val="26"/>
          <w:szCs w:val="26"/>
          <w:highlight w:val="white"/>
        </w:rPr>
        <w:t xml:space="preserve">              </w:t>
      </w:r>
      <w:r w:rsidRPr="00992B81">
        <w:rPr>
          <w:rFonts w:ascii="Times New Roman" w:hAnsi="Times New Roman" w:cs="Times New Roman"/>
          <w:sz w:val="26"/>
          <w:szCs w:val="26"/>
          <w:highlight w:val="white"/>
        </w:rPr>
        <w:t xml:space="preserve"> В целях совершенствования инвестиционной полит</w:t>
      </w:r>
      <w:r w:rsidR="00992B81">
        <w:rPr>
          <w:rFonts w:ascii="Times New Roman" w:hAnsi="Times New Roman" w:cs="Times New Roman"/>
          <w:sz w:val="26"/>
          <w:szCs w:val="26"/>
          <w:highlight w:val="white"/>
        </w:rPr>
        <w:t>ики администрации  Имекского</w:t>
      </w:r>
      <w:r w:rsidRPr="00992B81">
        <w:rPr>
          <w:rFonts w:ascii="Times New Roman" w:hAnsi="Times New Roman" w:cs="Times New Roman"/>
          <w:sz w:val="26"/>
          <w:szCs w:val="26"/>
          <w:highlight w:val="white"/>
        </w:rPr>
        <w:t xml:space="preserve"> сельсовета, руководствуясь ст. ст. 115, 115.2, 117 Бюджетного кодекса Российской Федераци</w:t>
      </w:r>
      <w:r w:rsidR="00992B81">
        <w:rPr>
          <w:rFonts w:ascii="Times New Roman" w:hAnsi="Times New Roman" w:cs="Times New Roman"/>
          <w:sz w:val="26"/>
          <w:szCs w:val="26"/>
          <w:highlight w:val="white"/>
        </w:rPr>
        <w:t>и, статьями</w:t>
      </w:r>
      <w:r w:rsidRPr="00992B81">
        <w:rPr>
          <w:rFonts w:ascii="Times New Roman" w:hAnsi="Times New Roman" w:cs="Times New Roman"/>
          <w:sz w:val="26"/>
          <w:szCs w:val="26"/>
          <w:highlight w:val="white"/>
        </w:rPr>
        <w:t xml:space="preserve"> 14, 35 Федерального закона «Об общих принципах</w:t>
      </w:r>
      <w:r w:rsidRPr="00992B81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hyperlink r:id="rId5" w:history="1">
        <w:r w:rsidRPr="00992B81">
          <w:rPr>
            <w:rFonts w:ascii="Times New Roman" w:hAnsi="Times New Roman" w:cs="Times New Roman"/>
            <w:sz w:val="26"/>
            <w:szCs w:val="26"/>
            <w:highlight w:val="white"/>
          </w:rPr>
          <w:t>организации местного самоуправления</w:t>
        </w:r>
      </w:hyperlink>
      <w:r w:rsidRPr="00992B81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sz w:val="26"/>
          <w:szCs w:val="26"/>
          <w:highlight w:val="white"/>
        </w:rPr>
        <w:t>в Российской Федерации», Федеральным законом «Об инвестиционной деятельности в Российской Федерации, осуществляемой в форме</w:t>
      </w:r>
      <w:r w:rsidRPr="00992B81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hyperlink r:id="rId6" w:history="1">
        <w:r w:rsidRPr="00992B81">
          <w:rPr>
            <w:rFonts w:ascii="Times New Roman" w:hAnsi="Times New Roman" w:cs="Times New Roman"/>
            <w:sz w:val="26"/>
            <w:szCs w:val="26"/>
            <w:highlight w:val="white"/>
          </w:rPr>
          <w:t>капитальных вложений</w:t>
        </w:r>
      </w:hyperlink>
      <w:r w:rsidR="00992B81">
        <w:rPr>
          <w:rFonts w:ascii="Times New Roman" w:hAnsi="Times New Roman" w:cs="Times New Roman"/>
          <w:sz w:val="26"/>
          <w:szCs w:val="26"/>
          <w:highlight w:val="white"/>
        </w:rPr>
        <w:t xml:space="preserve">», Уставом муниципального образования Имекский сельсовет от </w:t>
      </w:r>
      <w:r w:rsidR="002D50AD">
        <w:rPr>
          <w:rFonts w:ascii="Times New Roman" w:hAnsi="Times New Roman" w:cs="Times New Roman"/>
          <w:sz w:val="26"/>
          <w:szCs w:val="26"/>
          <w:highlight w:val="white"/>
        </w:rPr>
        <w:t xml:space="preserve">04.01.2006 (с изменениями и дополнениями),  Администрация Имекского сельсовета </w:t>
      </w:r>
      <w:proofErr w:type="spellStart"/>
      <w:proofErr w:type="gramStart"/>
      <w:r w:rsidR="002D50AD">
        <w:rPr>
          <w:rFonts w:ascii="Times New Roman" w:hAnsi="Times New Roman" w:cs="Times New Roman"/>
          <w:sz w:val="26"/>
          <w:szCs w:val="26"/>
          <w:highlight w:val="white"/>
        </w:rPr>
        <w:t>п</w:t>
      </w:r>
      <w:proofErr w:type="spellEnd"/>
      <w:proofErr w:type="gramEnd"/>
      <w:r w:rsidR="002D50A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proofErr w:type="gramStart"/>
      <w:r w:rsidR="002D50AD">
        <w:rPr>
          <w:rFonts w:ascii="Times New Roman" w:hAnsi="Times New Roman" w:cs="Times New Roman"/>
          <w:sz w:val="26"/>
          <w:szCs w:val="26"/>
          <w:highlight w:val="white"/>
        </w:rPr>
        <w:t>о</w:t>
      </w:r>
      <w:proofErr w:type="gramEnd"/>
      <w:r w:rsidR="002D50AD">
        <w:rPr>
          <w:rFonts w:ascii="Times New Roman" w:hAnsi="Times New Roman" w:cs="Times New Roman"/>
          <w:sz w:val="26"/>
          <w:szCs w:val="26"/>
          <w:highlight w:val="white"/>
        </w:rPr>
        <w:t xml:space="preserve"> с т а </w:t>
      </w:r>
      <w:proofErr w:type="spellStart"/>
      <w:r w:rsidR="002D50AD">
        <w:rPr>
          <w:rFonts w:ascii="Times New Roman" w:hAnsi="Times New Roman" w:cs="Times New Roman"/>
          <w:sz w:val="26"/>
          <w:szCs w:val="26"/>
          <w:highlight w:val="white"/>
        </w:rPr>
        <w:t>н</w:t>
      </w:r>
      <w:proofErr w:type="spellEnd"/>
      <w:r w:rsidR="002D50AD">
        <w:rPr>
          <w:rFonts w:ascii="Times New Roman" w:hAnsi="Times New Roman" w:cs="Times New Roman"/>
          <w:sz w:val="26"/>
          <w:szCs w:val="26"/>
          <w:highlight w:val="white"/>
        </w:rPr>
        <w:t xml:space="preserve"> о в л я е т</w:t>
      </w:r>
      <w:r w:rsidRPr="00992B81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:rsidR="00EE45D3" w:rsidRPr="00992B81" w:rsidRDefault="00EE45D3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D333C5" w:rsidRPr="00EE45D3" w:rsidRDefault="002D50AD" w:rsidP="00EE45D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Утвердить По</w:t>
      </w:r>
      <w:r w:rsidR="00D333C5" w:rsidRP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рядок предоставления инвесторам инвестиционных проектов муниципальных гарантий</w:t>
      </w:r>
      <w:r w:rsidRP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в Администрации Имекского сельсовета согласно приложению</w:t>
      </w:r>
      <w:r w:rsidR="00D333C5" w:rsidRP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</w:p>
    <w:p w:rsidR="00EE45D3" w:rsidRDefault="00EE45D3" w:rsidP="00EE45D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D333C5" w:rsidRDefault="00EE45D3" w:rsidP="00992B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Контроль над исполнением постановления оставляю за собой.</w:t>
      </w:r>
    </w:p>
    <w:p w:rsidR="00EE45D3" w:rsidRDefault="00EE45D3" w:rsidP="00EE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EE45D3" w:rsidRDefault="00EE45D3" w:rsidP="00EE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EE45D3" w:rsidRPr="00EE45D3" w:rsidRDefault="00EE45D3" w:rsidP="00EE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2D50AD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Глава Имекского сельсовета                                                              А.М. Тодояков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EE45D3" w:rsidRDefault="00EE45D3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Приложение</w:t>
      </w:r>
    </w:p>
    <w:p w:rsidR="00D333C5" w:rsidRPr="00992B81" w:rsidRDefault="00EE45D3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 п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остановлению администрации </w:t>
      </w:r>
    </w:p>
    <w:p w:rsidR="00D333C5" w:rsidRPr="00992B81" w:rsidRDefault="00EE45D3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Имекского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от </w:t>
      </w:r>
      <w:r w:rsid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«07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»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августа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2020г. №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EE45D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100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</w:p>
    <w:p w:rsidR="00EE45D3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Порядок 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предоставления инвесторам инвестиционных проектов </w:t>
      </w:r>
    </w:p>
    <w:p w:rsidR="00EE45D3" w:rsidRDefault="00D333C5" w:rsidP="00EE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муниципальных гарантий</w:t>
      </w:r>
      <w:r w:rsidR="00EE45D3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 Администрации Имекского сельсовета</w:t>
      </w:r>
    </w:p>
    <w:p w:rsidR="00EE45D3" w:rsidRDefault="00EE45D3" w:rsidP="00EE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</w:p>
    <w:p w:rsidR="00EE45D3" w:rsidRPr="00EE45D3" w:rsidRDefault="00EE45D3" w:rsidP="00EE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</w:pPr>
    </w:p>
    <w:p w:rsidR="00D333C5" w:rsidRPr="00992B81" w:rsidRDefault="00D333C5" w:rsidP="00EE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en-US"/>
        </w:rPr>
        <w:t>I</w:t>
      </w: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.</w:t>
      </w: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Общие положения</w:t>
      </w:r>
    </w:p>
    <w:p w:rsidR="00D333C5" w:rsidRPr="00992B81" w:rsidRDefault="00EE45D3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1. Настоящий П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орядок предоставления инвесторам инвестиционных проектов муниципальных гарантий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Администрации Имекского сельсовета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(далее - Порядок) 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7" w:history="1">
        <w:r w:rsidR="00D333C5"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бенефициаром</w:t>
        </w:r>
      </w:hyperlink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(основного обязательства).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 В целях настоящего Порядка применяются следующие понятия и термины: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2.1. Бенефициар - лицо, в пользу которого предоставлена муниципальная гарантия;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2.2. Гарант –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Имекский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сельсовет, от имени которого выступае</w:t>
      </w:r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т администрация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2.3. Гарантийный случай - факт неисполнения или ненадлежащего исполнения принципалом его обязательства перед бенефициаром;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2.4.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Муниципальная гарантия - вид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8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долгового обязательства</w:t>
        </w:r>
      </w:hyperlink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в силу которого Имекский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</w:t>
      </w:r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ет средств бюджета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2.5. Принципал – лицо, имеющее обязательство перед бенефициаром и являющееся инвестором включенного в реестр инвес</w:t>
      </w:r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тиционных проектов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инвестиционного проекта, в отношении которого Комиссией по инвестиционной деятельности администраци</w:t>
      </w:r>
      <w:r w:rsidR="00544A6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(далее – Комиссия) определена муниципальная поддержка в форме муниципальных гарантий;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2.6. 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3. Предоставление принципалам муниципальных гарантий осуществляется на конкурсной основе.</w:t>
      </w:r>
    </w:p>
    <w:p w:rsidR="00D333C5" w:rsidRPr="00992B81" w:rsidRDefault="00E5340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     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Имекского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(далее – Администрация).</w:t>
      </w:r>
    </w:p>
    <w:p w:rsidR="00D333C5" w:rsidRPr="00992B81" w:rsidRDefault="00E5340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     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Решение о проведении конкурса оформляется постановлением Администрации, подготавливаемым  в порядке, установленном Регламентом работы Администрации. В постановлении о проведении конкурса определяется дата проведения конкурса, дата начала и окончания приема заявлений об участии в конкурсе. Информационное извещение о проведении конкурса размещается на официальном сайте Администрации 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Имекского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не менее чем за 30 дней до начала проведения конкурса. В день конкурса назначается заседание Комиссии.</w:t>
      </w:r>
    </w:p>
    <w:p w:rsidR="00D333C5" w:rsidRPr="00992B81" w:rsidRDefault="00E5340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</w:t>
      </w:r>
      <w:proofErr w:type="gramStart"/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Информационное извещение содержит сведения о времени, дате начала и 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4. Муниципальные гарантии предоставляются в пределах общей суммы предоставляемых гарантий, указанной в решении </w:t>
      </w:r>
      <w:r w:rsidR="00E5340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Совета депутатов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(дале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е-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Совет депутатов) о бюджете на очередной финансовый год.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5. Муниципальные гарантии с правом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9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регрессного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Предметом залога может быть всякое имущество, в том числе вещи и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0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имущественные права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</w:t>
      </w:r>
    </w:p>
    <w:p w:rsidR="00D333C5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муниципальной гарантии.</w:t>
      </w:r>
    </w:p>
    <w:p w:rsidR="00CC21F6" w:rsidRPr="00992B81" w:rsidRDefault="00CC21F6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333C5" w:rsidRDefault="00D333C5" w:rsidP="00E5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 w:rsidRPr="00E53405">
        <w:rPr>
          <w:rFonts w:ascii="Times New Roman" w:hAnsi="Times New Roman" w:cs="Times New Roman"/>
          <w:b/>
          <w:color w:val="000000"/>
          <w:sz w:val="26"/>
          <w:szCs w:val="26"/>
          <w:highlight w:val="white"/>
          <w:lang w:val="en-US"/>
        </w:rPr>
        <w:t>II</w:t>
      </w:r>
      <w:r w:rsidRPr="00E53405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.</w:t>
      </w:r>
      <w:r w:rsidRPr="00E53405">
        <w:rPr>
          <w:rFonts w:ascii="Times New Roman" w:hAnsi="Times New Roman" w:cs="Times New Roman"/>
          <w:b/>
          <w:color w:val="000000"/>
          <w:sz w:val="26"/>
          <w:szCs w:val="26"/>
          <w:highlight w:val="white"/>
          <w:lang w:val="en-US"/>
        </w:rPr>
        <w:t> </w:t>
      </w:r>
      <w:r w:rsidRPr="00E53405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Условия и порядок предоставления муниципальных гарантий</w:t>
      </w:r>
    </w:p>
    <w:p w:rsidR="00E53405" w:rsidRPr="00E53405" w:rsidRDefault="00E53405" w:rsidP="00E5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6. Предоставление муниципальных гарантий осуществляется при условии: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6.1. Заключения Комиссии о возможности предоставления муниципальной гарантии при проведении анализа финансового состояния принципала;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6.2. Предоставления принципалом соответствующего требованиям п. 5 раздела I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6.3. Отсутствия у принципала, его поручителей (гарантов) просроченной задолженности по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1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денежным обязательствам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перед </w:t>
      </w:r>
      <w:proofErr w:type="spellStart"/>
      <w:r w:rsidR="00E5340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Имекским</w:t>
      </w:r>
      <w:proofErr w:type="spell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сельсоветом, по обязательным платежам в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2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бюджетную систему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Российской Федерации.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 Для участия в конкурсе принципал представляет в Администрацию заявление в свободно</w:t>
      </w:r>
      <w:r w:rsidR="00E5340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й письменной форме на имя главы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об участии в конкурсе на предоставление муниципальной поддержки в форме муниципальных гарантий (далее - Заявление) с приложением следующих документов: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7.1. Копии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3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учредительных документов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(устав либо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4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учредительный договор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со всеми изменениями и дополнениями для принципалов, являющихся юридическими лицами). Копия свидетельства о государственной регистрации физического лица в качестве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5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индивидуального предпринимателя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(для принципалов, являющихся индивидуальными предпринимателями);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Справка налогового органа о состоянии задолженности по налогам и сборам во все уровни бюджетов, справка территориального органа Пенсионного фонда Российской Федерации о состоянии задолженности по страховым </w:t>
      </w:r>
      <w:hyperlink r:id="rId16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взносам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справка территориального органа Фонда социального страхования Российской Федерации о состоянии задолженности по страховым взносам, по состоянию не ранее 30 дней до 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дня подачи заявления о предоставлении муниципальной гарантии;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7.3. Копия документа, подтверждающего полномочия руководителя на текущий период времени (справка,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7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выписка из протокола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приказ о назначении и др.) (для принципалов, являющихся юридическими лицами);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7.4. В свободной форме сведения об имуществе, которое предлагается использовать в обеспечение регрессного требования гаранта к принципалу;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7.5. Копии документов о правах на имущество, являющееся предметом залога;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7.6. Копия заключения независимой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8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оценки объектов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залогового обеспечения;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7.7. Документы по обеспечению исполнения обязательств (договор о залоге,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19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договор поручительства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);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7.8. Копия договора (соглашения) между принципалом и бенефициаром, в случае его отсутствия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0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проект договора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(соглашения) вместе с письмом контрагента (займодателя) о согласии заключить договор с принципалом при условии выдачи муниципальной гарантии;</w:t>
      </w:r>
    </w:p>
    <w:p w:rsidR="00E037B4" w:rsidRDefault="00D333C5" w:rsidP="00E037B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7.9. Разрешение принципала на </w:t>
      </w:r>
      <w:proofErr w:type="spellStart"/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безакцептное</w:t>
      </w:r>
      <w:proofErr w:type="spellEnd"/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списание гарантом со всех счетов принципала суммы</w:t>
      </w:r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1" w:history="1">
        <w:r w:rsidR="00E037B4" w:rsidRPr="00E037B4">
          <w:rPr>
            <w:rStyle w:val="a5"/>
            <w:rFonts w:ascii="Times New Roman" w:hAnsi="Times New Roman" w:cs="Times New Roman"/>
            <w:sz w:val="26"/>
            <w:szCs w:val="26"/>
            <w:highlight w:val="white"/>
          </w:rPr>
          <w:t>денежных</w:t>
        </w:r>
      </w:hyperlink>
      <w:r w:rsidR="00E037B4">
        <w:rPr>
          <w:rFonts w:ascii="Times New Roman" w:hAnsi="Times New Roman" w:cs="Times New Roman"/>
          <w:color w:val="743399"/>
          <w:sz w:val="26"/>
          <w:szCs w:val="26"/>
          <w:highlight w:val="white"/>
          <w:u w:val="single"/>
        </w:rPr>
        <w:t xml:space="preserve"> сре</w:t>
      </w:r>
      <w:proofErr w:type="gramStart"/>
      <w:r w:rsidR="00E037B4">
        <w:rPr>
          <w:rFonts w:ascii="Times New Roman" w:hAnsi="Times New Roman" w:cs="Times New Roman"/>
          <w:color w:val="743399"/>
          <w:sz w:val="26"/>
          <w:szCs w:val="26"/>
          <w:highlight w:val="white"/>
          <w:u w:val="single"/>
        </w:rPr>
        <w:t>дств</w:t>
      </w:r>
      <w:r w:rsidR="00E037B4" w:rsidRPr="00E037B4">
        <w:rPr>
          <w:rFonts w:ascii="Times New Roman" w:hAnsi="Times New Roman" w:cs="Times New Roman"/>
          <w:color w:val="743399"/>
          <w:sz w:val="26"/>
          <w:szCs w:val="26"/>
          <w:highlight w:val="white"/>
          <w:u w:val="single"/>
        </w:rPr>
        <w:t xml:space="preserve"> </w:t>
      </w:r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дл</w:t>
      </w:r>
      <w:proofErr w:type="gramEnd"/>
      <w:r w:rsidRPr="00E037B4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</w:t>
      </w:r>
    </w:p>
    <w:p w:rsidR="00D333C5" w:rsidRPr="00992B81" w:rsidRDefault="00D333C5" w:rsidP="00E037B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7.10. Документы при применении принципалом общей системы налогообложения:</w:t>
      </w:r>
    </w:p>
    <w:p w:rsidR="00D333C5" w:rsidRPr="00992B81" w:rsidRDefault="00D333C5" w:rsidP="00E03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2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бухгалтерский баланс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(форма по ОКУД 0710001);</w:t>
      </w:r>
    </w:p>
    <w:p w:rsidR="00D333C5" w:rsidRPr="00992B81" w:rsidRDefault="00D333C5" w:rsidP="00E03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отчет о прибылях и убытках (форма по ОКУД 0710002);</w:t>
      </w:r>
    </w:p>
    <w:p w:rsidR="00D333C5" w:rsidRPr="00992B81" w:rsidRDefault="00D333C5" w:rsidP="00E03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3)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3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пояснительную записку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 </w:t>
      </w:r>
      <w:hyperlink r:id="rId24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бухгалтерской отчетности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государственных (муниципальных) бюджетных и автономных учреждений», для остальных – примерная форма);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4)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расшифровку дебиторской и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5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кредиторской задолженности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 бухгалтерскому балансу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5)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информацию о целевом испо</w:t>
      </w:r>
      <w:r w:rsidR="008B4BC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льзовании средств бюджета Имекского сельсовета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полученных за последние два года (при условии, что таковые были);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6) аудиторские заключения о достоверности бухгалтерской отчетности принципала (для юридических лиц, которые в соответствии с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6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законодательством Российской Федерации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должны проходить ежегодную аудиторскую проверку).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Документы, указанные в абзацах 2 - 5 подпункта 7.10.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7.11. Документы при применении принципалом специального налогового режима: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1) копии налоговых деклараций за два последних завершенных финансовых года (при наличии таковых), предшествующих дате подачи заявления на получение муниципальной гарантии.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7.12.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 случае если обеспечением исполнения обязательств принципала является поручительство третьего лица, дополнительно предоставляется письменное подтверждение поручителя, документы поручителя согласно подпунктам пункта 7 раздела II настоящего Порядка, а также копии бухгалтерского баланса и отчета о 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прибылях и убытках на последнюю отчетную дату с отметками налогового органа об их принятии (копия заключения независимой оценки чистых активов поручителя для организаций, применяющих специальные налоговые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режимы).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8. Бухгалтерский баланс, отчет о прибылях и убытках, копии налоговых деклараций для организаций и индивидуальных предпринимателей, применяющих общую систему налогообложения, предоставляются с отметкой о приеме территориального органа федеральной налоговой службы. При сдаче бухгалтерской отчетности в электронном виде принципал обязан представить квитанцию, подтверждающую прием бухгалтерской отчетности налоговыми органами, заверенную электронной подписью. При сдаче бухгалтерской отчетности через почтовое отделение принципал обязан представить копию письма с описью вложения.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9. Копии документов, представляемых принципалом, являющимся юридическим лицом, заверяются подписью руководителя и печатью организации. Копии документов, представляемых принципалом, являющимся индивидуальным предпринимателем заверяются подписью и печатью (в случае её наличия) индивидуального предпринимателя.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10. Перечисленные в п. 7 раздела II настоящего Порядка документы предоставляются принципалом в виде машинописного текста.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11. В срок, указанный в информационном извещении о проведении конкурса, принципал подает в Администрацию Заявление с приложением документов, указанных в п. 7 раздела II настоящего Порядка. Администрация регистрирует Заявление с приложением документов в день его поступления и выдает принципалу расписку с указанием перечня принятых документов, даты их принятия, а также фамилии, имени, отчества и должности лица, принявшего документы.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Заявления, поступившие после истечения срока, указанного в информационном извещении о проведении конкурса не принимаются.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12. Администрация в течение 5 рабочих дней со дня окончания приема Заявления с приложением документов, указанных в п. 7 настоящего Порядка (далее - Документы):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- осуществляет проверку принципала на соответствие требованиям, установленным </w:t>
      </w:r>
      <w:proofErr w:type="spell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пп</w:t>
      </w:r>
      <w:proofErr w:type="spell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 6.2, 6.3 п. 6, п. п. 7-10 настоящего Порядка, подготавливает информацию для Комиссии о соответствии либо несоответствии принципала указанным требованиям и передает информацию и Документы для рассмотрения на заседании Комиссии;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- передает специалисту по финансовым вопросам необходимые для проведения анализа финансового состояния принципала Документы, указанные в </w:t>
      </w:r>
      <w:proofErr w:type="spell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пп</w:t>
      </w:r>
      <w:proofErr w:type="spell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 7.2, 7.10, 7.11 настоящего Порядка, с сопроводительным письмом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13. Специалист по финансовым вопросам в установленном им порядке в течение 10 рабочих дней с момента регистрации сопроводительного письма с приложением документов проводит анализ финансового состояния принципала в целях предоставления муниципальной гарантии, подготавливает письменное заключение о возможности (или нецелесообразности) предоставления муниципальной гарантии и передает его для рассмотрения на заседании Комиссии.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14. Заседание Комиссии проходит в течение 20 дней после поступления информации и документов, указанных в п. п. 12,13 настоящего Порядка.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Решение о предоставлении (об отказе в предоставлении) муниципальной поддержки в форме муниципальных гарантий принимается в день заседания Комиссии.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15. Конкурс считается состоявшимся, при участии двух и более принципалов.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</w:rPr>
        <w:t xml:space="preserve">16. Победителем конкурса считается только один принципал, соответствующий требованиям п. п. 6-10 раздела II настоящего Порядка и набравший наиболее высокое </w:t>
      </w:r>
      <w:r w:rsidRPr="00992B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значение общей эффективности инвестиционного проекта. Оценка общей эффективности инвестиционного проекта проводится в соответствии с постановлением администрации </w:t>
      </w:r>
      <w:r w:rsidRPr="00992B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92B81">
        <w:rPr>
          <w:rFonts w:ascii="Times New Roman" w:hAnsi="Times New Roman" w:cs="Times New Roman"/>
          <w:sz w:val="26"/>
          <w:szCs w:val="26"/>
        </w:rPr>
        <w:t>О порядке проведения проверки инвестиционных проектов на предмет эффективности использования средств местного бюджета, направляемых на</w:t>
      </w:r>
      <w:r w:rsidRPr="00992B8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B81">
        <w:rPr>
          <w:rFonts w:ascii="Times New Roman" w:hAnsi="Times New Roman" w:cs="Times New Roman"/>
          <w:sz w:val="26"/>
          <w:szCs w:val="26"/>
        </w:rPr>
        <w:t>капитальные вложения» №120 от 9.08.16г. (</w:t>
      </w:r>
      <w:r w:rsidRPr="00992B81">
        <w:rPr>
          <w:rFonts w:ascii="Times New Roman" w:hAnsi="Times New Roman" w:cs="Times New Roman"/>
          <w:color w:val="000000"/>
          <w:sz w:val="26"/>
          <w:szCs w:val="26"/>
        </w:rPr>
        <w:t>далее - ОЭ).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17. Итоги конкурса отражаются в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7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протоколе заседания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Комиссии, который подписывается председателем либо лицом, его замещающим, и секретарем Комиссии.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Информация о результатах конкурса размещается в 2-недельный срок с момента подведения итогов конкурса на официальном сайте администрации в информационно-телекоммуникационной сети «Интернет».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18. О принятом Комиссией решении администрация  информирует  принципала письменно (заказным письмом с уведомлением о вручении либо лично под роспись) в течение 5 рабочих дней после принятия решения о предоставлении (об отказе в предоставлении) муниципальной поддержки.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19. Основаниями для отказа в предоставлении муниципальной поддержки в форме муниципальных гарантий являются: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несоответствие принципала требованиям п. п. 6-10 раздела II настоящего Порядка;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заключение о нецелесообразности предоставления принципалу муниципальной гарантии;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меньшее или отрицательное значение ОЭ.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20.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Муниципальный правовой акт о предоставлении принципалу муниципальной поддержки в форме муниципальной гарантии по</w:t>
      </w:r>
      <w:r w:rsidR="00A170B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дписывается главой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в течение одного месяца с момента утверждения решения</w:t>
      </w:r>
      <w:r w:rsidR="00A170B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Советом депутатов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 о бюджете на очередной финансовый год и плановый период при наличии предусмотренных бюджетом сельского поселения расходов, необходимых для предоставления принципалу муниципальных гарантий, в указанном решении.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Расходы на осуществление инвестиционного проекта включаются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 бюджет поселения  в соответствии с установленным муниципальным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8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правовым актом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на осуществление нового инвестиционного проекта с учетом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эксплуатационных расходов будущих периодов.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21.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Подготовка проекта договора о предоставлении муниципальной гарантии, проектов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29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договоров залога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 (или) поручительства и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осуществляется администрацией на основании муниципальн</w:t>
      </w:r>
      <w:r w:rsidR="00A170B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ого правового акта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  о предоставлении принципалу муниципальной гарантии.</w:t>
      </w:r>
      <w:proofErr w:type="gramEnd"/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Гарант заключает с победителем конкурса договор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не позднее двадцати дней или иного указанного в извещении срока после завершения конкурса и оформления протокола.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22. Основаниями для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30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досрочного прекращения договора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 предоставлении 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муниципальной гарантии являются следующие случаи: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установлены факты нецелевого использования (неиспользования) выделенных бюджетных средств;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- уменьшены объемы </w:t>
      </w:r>
      <w:proofErr w:type="spell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софинансирования</w:t>
      </w:r>
      <w:proofErr w:type="spell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по сравнению с ранее запланированными объемами, приводящие к недостижению целей инвестиционного проекта;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в отношении принципала проводятся процедуры банкротства или ликвидации;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- принципалом более двух раз в период реализации инвестиционного проекта допущена неуплата налогов, сборов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федеральный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 областной и (или)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31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местный бюджеты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стандартов (норм и правил), связанных с реализацией инвестиционного проекта;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реализация инвестиционного проекта идет с отклонением более 30% от его параметров, включая показатель ОЭ, на основе оценки которых принималось решение об оказании муниципальной поддержки;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- принципал не соблюдает своих обязательств по реализации инвестиционного проекта, предусмотренных договором.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III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  <w:proofErr w:type="gramStart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Заключительные</w:t>
      </w:r>
      <w:proofErr w:type="gramEnd"/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положения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такой гарантии учитывается в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32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источниках финансирования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hyperlink r:id="rId33" w:history="1">
        <w:r w:rsidRPr="00992B81">
          <w:rPr>
            <w:rFonts w:ascii="Times New Roman" w:hAnsi="Times New Roman" w:cs="Times New Roman"/>
            <w:color w:val="743399"/>
            <w:sz w:val="26"/>
            <w:szCs w:val="26"/>
            <w:highlight w:val="white"/>
            <w:u w:val="single"/>
          </w:rPr>
          <w:t>дефицита бюджета</w:t>
        </w:r>
      </w:hyperlink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A170B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</w:t>
      </w:r>
      <w:r w:rsidR="00A170B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 расходов бюджета Имекского</w:t>
      </w: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сельсовета.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Средства, полученные гарантом в счет возмещения гаранту в порядке регресса сумм, уплаченных им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333C5" w:rsidRPr="00992B81" w:rsidRDefault="00D333C5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24. Предоставление и исполнение муниципальных гарантий подлежит отражению в муниципальной долговой книге.</w:t>
      </w:r>
    </w:p>
    <w:p w:rsidR="00D333C5" w:rsidRPr="00992B81" w:rsidRDefault="00A170B2" w:rsidP="00992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 </w:t>
      </w:r>
      <w:r w:rsidR="00D333C5" w:rsidRPr="00992B8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Администрация  ведет учет выданных муниципальных гарантий (учет осуществления гарантом платежей по выданным гарантиям) путем формирования реестра, вносит в реестр сведения о предоставленных гарантиях и о платежах по ранее предоставленным гарантиям.</w:t>
      </w:r>
    </w:p>
    <w:p w:rsidR="004C48F2" w:rsidRDefault="004C48F2"/>
    <w:sectPr w:rsidR="004C48F2" w:rsidSect="00992B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30B"/>
    <w:multiLevelType w:val="hybridMultilevel"/>
    <w:tmpl w:val="B0321718"/>
    <w:lvl w:ilvl="0" w:tplc="E69EEB9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C5"/>
    <w:rsid w:val="00003C6A"/>
    <w:rsid w:val="000174C5"/>
    <w:rsid w:val="00032F4E"/>
    <w:rsid w:val="000429B1"/>
    <w:rsid w:val="000477C3"/>
    <w:rsid w:val="00055FEC"/>
    <w:rsid w:val="0006276C"/>
    <w:rsid w:val="00071976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800E0"/>
    <w:rsid w:val="00183B89"/>
    <w:rsid w:val="00184B7A"/>
    <w:rsid w:val="0019544A"/>
    <w:rsid w:val="001A243F"/>
    <w:rsid w:val="001A2B20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D50AD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58F8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15810"/>
    <w:rsid w:val="00544A6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C18A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17C59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4BCA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2B81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0B2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C21F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33C5"/>
    <w:rsid w:val="00D375F8"/>
    <w:rsid w:val="00D54E01"/>
    <w:rsid w:val="00D65883"/>
    <w:rsid w:val="00D750FC"/>
    <w:rsid w:val="00D772A6"/>
    <w:rsid w:val="00DC48BF"/>
    <w:rsid w:val="00DC6969"/>
    <w:rsid w:val="00DD0420"/>
    <w:rsid w:val="00DD57C3"/>
    <w:rsid w:val="00DF1F80"/>
    <w:rsid w:val="00DF7ECC"/>
    <w:rsid w:val="00E037B4"/>
    <w:rsid w:val="00E1135E"/>
    <w:rsid w:val="00E12813"/>
    <w:rsid w:val="00E177A9"/>
    <w:rsid w:val="00E31C8F"/>
    <w:rsid w:val="00E440DE"/>
    <w:rsid w:val="00E50A74"/>
    <w:rsid w:val="00E53405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EE45D3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E45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3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govoe_obyazatelmzstvo/" TargetMode="External"/><Relationship Id="rId13" Type="http://schemas.openxmlformats.org/officeDocument/2006/relationships/hyperlink" Target="http://pandia.ru/text/category/dokumenti_uchreditelmznie/" TargetMode="External"/><Relationship Id="rId18" Type="http://schemas.openxmlformats.org/officeDocument/2006/relationships/hyperlink" Target="http://pandia.ru/text/category/otcenochnaya_deyatelmznostmz/" TargetMode="External"/><Relationship Id="rId26" Type="http://schemas.openxmlformats.org/officeDocument/2006/relationships/hyperlink" Target="http://pandia.ru/text/category/zakoni_v_rossii/" TargetMode="External"/><Relationship Id="rId3" Type="http://schemas.openxmlformats.org/officeDocument/2006/relationships/settings" Target="settings.xml"/><Relationship Id="rId21" Type="http://schemas.openxmlformats.org/officeDocument/2006/relationships/hyperlink" Target="&#1076;&#1077;&#1085;&#1077;&#1078;&#1085;&#1099;&#1093;%20&#1076;&#1089;&#1090;&#1074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andia.ru/text/category/benefitciar/" TargetMode="External"/><Relationship Id="rId12" Type="http://schemas.openxmlformats.org/officeDocument/2006/relationships/hyperlink" Target="http://pandia.ru/text/category/byudzhetnaya_sistema/" TargetMode="External"/><Relationship Id="rId17" Type="http://schemas.openxmlformats.org/officeDocument/2006/relationships/hyperlink" Target="http://pandia.ru/text/category/vipiski_iz_protokolov/" TargetMode="External"/><Relationship Id="rId25" Type="http://schemas.openxmlformats.org/officeDocument/2006/relationships/hyperlink" Target="http://pandia.ru/text/category/zadolzhennostmz_kreditorskaya/" TargetMode="External"/><Relationship Id="rId33" Type="http://schemas.openxmlformats.org/officeDocument/2006/relationships/hyperlink" Target="http://pandia.ru/text/category/byudzhetnij_defitc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znos/" TargetMode="External"/><Relationship Id="rId20" Type="http://schemas.openxmlformats.org/officeDocument/2006/relationships/hyperlink" Target="http://pandia.ru/text/category/proekti_dogovorov/" TargetMode="External"/><Relationship Id="rId29" Type="http://schemas.openxmlformats.org/officeDocument/2006/relationships/hyperlink" Target="http://pandia.ru/text/category/dogovora_zalog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ozhennij_kapital/" TargetMode="External"/><Relationship Id="rId11" Type="http://schemas.openxmlformats.org/officeDocument/2006/relationships/hyperlink" Target="http://pandia.ru/text/category/denezhnoe_obyazatelmzstvo/" TargetMode="External"/><Relationship Id="rId24" Type="http://schemas.openxmlformats.org/officeDocument/2006/relationships/hyperlink" Target="http://pandia.ru/text/category/buhgalterskaya_otchetnostmz/" TargetMode="External"/><Relationship Id="rId32" Type="http://schemas.openxmlformats.org/officeDocument/2006/relationships/hyperlink" Target="http://pandia.ru/text/category/istochniki_finansirovaniy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://pandia.ru/text/category/poyasnitelmznie_zapiski/" TargetMode="External"/><Relationship Id="rId28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pandia.ru/text/category/imushestvennoe_pravo/" TargetMode="External"/><Relationship Id="rId19" Type="http://schemas.openxmlformats.org/officeDocument/2006/relationships/hyperlink" Target="http://pandia.ru/text/category/dogovora_poruchitelmzstva/" TargetMode="External"/><Relationship Id="rId31" Type="http://schemas.openxmlformats.org/officeDocument/2006/relationships/hyperlink" Target="http://pandia.ru/text/category/byudzhet_mest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egressiya/" TargetMode="External"/><Relationship Id="rId14" Type="http://schemas.openxmlformats.org/officeDocument/2006/relationships/hyperlink" Target="http://pandia.ru/text/category/dogovor_uchreditelmznij/" TargetMode="External"/><Relationship Id="rId22" Type="http://schemas.openxmlformats.org/officeDocument/2006/relationships/hyperlink" Target="http://pandia.ru/text/category/balans_buhgalterskij/" TargetMode="External"/><Relationship Id="rId27" Type="http://schemas.openxmlformats.org/officeDocument/2006/relationships/hyperlink" Target="http://pandia.ru/text/category/protokoli_zasedanij/" TargetMode="External"/><Relationship Id="rId30" Type="http://schemas.openxmlformats.org/officeDocument/2006/relationships/hyperlink" Target="http://pandia.ru/text/category/dosrochnoe_prekrashenie_dogovor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2020-09-07T07:21:00Z</cp:lastPrinted>
  <dcterms:created xsi:type="dcterms:W3CDTF">2020-09-03T03:31:00Z</dcterms:created>
  <dcterms:modified xsi:type="dcterms:W3CDTF">2020-09-07T07:29:00Z</dcterms:modified>
</cp:coreProperties>
</file>