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B945E2">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626182" w:rsidRDefault="00626182" w:rsidP="00520E95">
                          <w:pPr>
                            <w:pStyle w:val="ad"/>
                            <w:ind w:firstLine="0"/>
                            <w:jc w:val="center"/>
                            <w:rPr>
                              <w:sz w:val="48"/>
                              <w:szCs w:val="48"/>
                              <w:lang w:val="ru-RU"/>
                            </w:rPr>
                          </w:pPr>
                          <w:r>
                            <w:rPr>
                              <w:sz w:val="48"/>
                              <w:szCs w:val="48"/>
                              <w:lang w:val="ru-RU"/>
                            </w:rPr>
                            <w:t>Администрация</w:t>
                          </w:r>
                        </w:p>
                        <w:p w:rsidR="00626182" w:rsidRDefault="00626182" w:rsidP="00520E95">
                          <w:pPr>
                            <w:pStyle w:val="ad"/>
                            <w:ind w:firstLine="0"/>
                            <w:jc w:val="center"/>
                            <w:rPr>
                              <w:sz w:val="48"/>
                              <w:szCs w:val="48"/>
                              <w:lang w:val="ru-RU"/>
                            </w:rPr>
                          </w:pPr>
                          <w:r w:rsidRPr="00520E95">
                            <w:rPr>
                              <w:sz w:val="48"/>
                              <w:szCs w:val="48"/>
                              <w:lang w:val="ru-RU"/>
                            </w:rPr>
                            <w:t xml:space="preserve">  </w:t>
                          </w:r>
                          <w:r>
                            <w:rPr>
                              <w:sz w:val="48"/>
                              <w:szCs w:val="48"/>
                              <w:lang w:val="ru-RU"/>
                            </w:rPr>
                            <w:t>Имекского</w:t>
                          </w:r>
                          <w:r w:rsidRPr="00520E95">
                            <w:rPr>
                              <w:sz w:val="48"/>
                              <w:szCs w:val="48"/>
                              <w:lang w:val="ru-RU"/>
                            </w:rPr>
                            <w:t xml:space="preserve"> сельсовета </w:t>
                          </w:r>
                        </w:p>
                        <w:p w:rsidR="00626182" w:rsidRPr="00520E95" w:rsidRDefault="00626182" w:rsidP="00520E95">
                          <w:pPr>
                            <w:pStyle w:val="ad"/>
                            <w:ind w:firstLine="0"/>
                            <w:jc w:val="center"/>
                            <w:rPr>
                              <w:sz w:val="48"/>
                              <w:szCs w:val="48"/>
                              <w:lang w:val="ru-RU"/>
                            </w:rPr>
                          </w:pPr>
                          <w:r w:rsidRPr="00520E95">
                            <w:rPr>
                              <w:sz w:val="48"/>
                              <w:szCs w:val="48"/>
                              <w:lang w:val="ru-RU"/>
                            </w:rPr>
                            <w:t xml:space="preserve"> </w:t>
                          </w:r>
                        </w:p>
                        <w:p w:rsidR="00626182" w:rsidRPr="00A31EDA" w:rsidRDefault="00626182" w:rsidP="00520E95">
                          <w:pPr>
                            <w:pStyle w:val="ad"/>
                            <w:ind w:firstLine="0"/>
                            <w:jc w:val="center"/>
                            <w:rPr>
                              <w:sz w:val="40"/>
                              <w:szCs w:val="40"/>
                              <w:lang w:val="ru-RU"/>
                            </w:rPr>
                          </w:pPr>
                        </w:p>
                        <w:p w:rsidR="00626182" w:rsidRDefault="00626182" w:rsidP="00520E95">
                          <w:pPr>
                            <w:pStyle w:val="ad"/>
                            <w:ind w:firstLine="0"/>
                            <w:jc w:val="center"/>
                            <w:rPr>
                              <w:sz w:val="48"/>
                              <w:szCs w:val="48"/>
                              <w:lang w:val="ru-RU"/>
                            </w:rPr>
                          </w:pPr>
                        </w:p>
                        <w:p w:rsidR="00626182" w:rsidRPr="008B7081" w:rsidRDefault="00626182"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626182" w:rsidRPr="00F069EF" w:rsidRDefault="00626182" w:rsidP="00520E95">
                          <w:pPr>
                            <w:pStyle w:val="ad"/>
                            <w:ind w:firstLine="0"/>
                            <w:rPr>
                              <w:sz w:val="20"/>
                              <w:szCs w:val="20"/>
                              <w:lang w:val="ru-RU"/>
                            </w:rPr>
                          </w:pPr>
                          <w:r w:rsidRPr="00F069EF">
                            <w:rPr>
                              <w:sz w:val="20"/>
                              <w:szCs w:val="20"/>
                              <w:lang w:val="ru-RU"/>
                            </w:rPr>
                            <w:t>(в редакции решени</w:t>
                          </w:r>
                          <w:r>
                            <w:rPr>
                              <w:sz w:val="20"/>
                              <w:szCs w:val="20"/>
                              <w:lang w:val="ru-RU"/>
                            </w:rPr>
                            <w:t>й</w:t>
                          </w:r>
                          <w:r w:rsidRPr="00F069EF">
                            <w:rPr>
                              <w:sz w:val="20"/>
                              <w:szCs w:val="20"/>
                              <w:lang w:val="ru-RU"/>
                            </w:rPr>
                            <w:t xml:space="preserve"> Совета депутатов Имекского сельсовета от 16.02.2017г. № 3</w:t>
                          </w:r>
                          <w:r>
                            <w:rPr>
                              <w:sz w:val="20"/>
                              <w:szCs w:val="20"/>
                              <w:lang w:val="ru-RU"/>
                            </w:rPr>
                            <w:t>, от 10.10.2018г. № 39</w:t>
                          </w:r>
                          <w:r w:rsidR="003A0331">
                            <w:rPr>
                              <w:sz w:val="20"/>
                              <w:szCs w:val="20"/>
                              <w:lang w:val="ru-RU"/>
                            </w:rPr>
                            <w:t>, от 28.12.2018г. № 53</w:t>
                          </w:r>
                          <w:r w:rsidR="002E7509">
                            <w:rPr>
                              <w:sz w:val="20"/>
                              <w:szCs w:val="20"/>
                              <w:lang w:val="ru-RU"/>
                            </w:rPr>
                            <w:t>, от 28.06.2019г. № 26</w:t>
                          </w:r>
                          <w:r w:rsidRPr="00F069EF">
                            <w:rPr>
                              <w:sz w:val="20"/>
                              <w:szCs w:val="20"/>
                              <w:lang w:val="ru-RU"/>
                            </w:rPr>
                            <w:t>)</w:t>
                          </w:r>
                        </w:p>
                        <w:p w:rsidR="00626182" w:rsidRPr="00520E95" w:rsidRDefault="00626182" w:rsidP="00520E95">
                          <w:pPr>
                            <w:pStyle w:val="ad"/>
                            <w:ind w:firstLine="0"/>
                            <w:rPr>
                              <w:lang w:val="ru-RU"/>
                            </w:rPr>
                          </w:pPr>
                        </w:p>
                        <w:p w:rsidR="00626182" w:rsidRPr="00520E95" w:rsidRDefault="00626182" w:rsidP="00520E95">
                          <w:pPr>
                            <w:pStyle w:val="ad"/>
                            <w:ind w:firstLine="0"/>
                            <w:rPr>
                              <w:lang w:val="ru-RU"/>
                            </w:rPr>
                          </w:pPr>
                        </w:p>
                        <w:p w:rsidR="00626182" w:rsidRPr="00520E95" w:rsidRDefault="00626182" w:rsidP="00520E95">
                          <w:pPr>
                            <w:pStyle w:val="ad"/>
                            <w:rPr>
                              <w:lang w:val="ru-RU"/>
                            </w:rPr>
                          </w:pPr>
                        </w:p>
                        <w:p w:rsidR="00626182" w:rsidRPr="00520E95" w:rsidRDefault="00626182"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Pr="00520E95"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Default="00626182" w:rsidP="00520E95">
                          <w:pPr>
                            <w:pStyle w:val="ad"/>
                            <w:rPr>
                              <w:lang w:val="ru-RU"/>
                            </w:rPr>
                          </w:pPr>
                        </w:p>
                        <w:p w:rsidR="00626182" w:rsidRPr="00520E95" w:rsidRDefault="00626182" w:rsidP="00520E95">
                          <w:pPr>
                            <w:pStyle w:val="ad"/>
                            <w:rPr>
                              <w:lang w:val="ru-RU"/>
                            </w:rPr>
                          </w:pPr>
                        </w:p>
                        <w:p w:rsidR="00626182" w:rsidRPr="00CE3489" w:rsidRDefault="00626182" w:rsidP="00520E95">
                          <w:pPr>
                            <w:pStyle w:val="ad"/>
                            <w:ind w:firstLine="0"/>
                            <w:jc w:val="center"/>
                            <w:rPr>
                              <w:sz w:val="32"/>
                              <w:szCs w:val="32"/>
                            </w:rPr>
                          </w:pPr>
                          <w:r w:rsidRPr="00CE3489">
                            <w:rPr>
                              <w:sz w:val="32"/>
                              <w:szCs w:val="32"/>
                            </w:rPr>
                            <w:t>ООО «Фундамент»</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626182" w:rsidRPr="00E27DE0" w:rsidRDefault="00626182"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626182" w:rsidRDefault="00626182" w:rsidP="00520E95">
                          <w:pPr>
                            <w:pStyle w:val="ad"/>
                            <w:ind w:firstLine="0"/>
                          </w:pPr>
                        </w:p>
                        <w:p w:rsidR="00626182" w:rsidRDefault="00626182" w:rsidP="00520E95">
                          <w:pPr>
                            <w:pStyle w:val="ad"/>
                            <w:jc w:val="right"/>
                          </w:pPr>
                        </w:p>
                        <w:p w:rsidR="00626182" w:rsidRDefault="00626182" w:rsidP="00520E95">
                          <w:pPr>
                            <w:pStyle w:val="ad"/>
                            <w:jc w:val="right"/>
                          </w:pPr>
                        </w:p>
                        <w:p w:rsidR="00626182" w:rsidRPr="005A20B4" w:rsidRDefault="00626182" w:rsidP="00520E95">
                          <w:pPr>
                            <w:pStyle w:val="ad"/>
                            <w:jc w:val="right"/>
                          </w:pPr>
                        </w:p>
                        <w:p w:rsidR="00626182" w:rsidRPr="005A20B4" w:rsidRDefault="00626182" w:rsidP="00520E95">
                          <w:pPr>
                            <w:pStyle w:val="ad"/>
                            <w:jc w:val="right"/>
                          </w:pPr>
                        </w:p>
                        <w:p w:rsidR="00626182" w:rsidRPr="005A20B4" w:rsidRDefault="00626182"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E004C3">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80302E">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E004C3">
              <w:rPr>
                <w:rFonts w:ascii="Times New Roman" w:eastAsia="Times New Roman" w:hAnsi="Times New Roman" w:cs="Times New Roman"/>
                <w:sz w:val="28"/>
                <w:szCs w:val="20"/>
                <w:lang w:val="ru-RU" w:eastAsia="ru-RU" w:bidi="ar-SA"/>
              </w:rPr>
              <w:t>57</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02E">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w:t>
      </w:r>
      <w:r w:rsidR="008D5EA1">
        <w:rPr>
          <w:rFonts w:ascii="Times New Roman" w:eastAsia="Times New Roman" w:hAnsi="Times New Roman" w:cs="Times New Roman"/>
          <w:sz w:val="28"/>
          <w:szCs w:val="20"/>
          <w:lang w:val="ru-RU" w:eastAsia="ru-RU" w:bidi="ar-SA"/>
        </w:rPr>
        <w:t>ы, безопасности и земли иного спе</w:t>
      </w:r>
      <w:r w:rsidR="00701942" w:rsidRPr="00701942">
        <w:rPr>
          <w:rFonts w:ascii="Times New Roman" w:eastAsia="Times New Roman" w:hAnsi="Times New Roman" w:cs="Times New Roman"/>
          <w:sz w:val="28"/>
          <w:szCs w:val="20"/>
          <w:lang w:val="ru-RU" w:eastAsia="ru-RU" w:bidi="ar-SA"/>
        </w:rPr>
        <w:t>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решения Совета депутатов Имекского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рекции </w:t>
            </w:r>
            <w:r w:rsidR="00F069EF">
              <w:rPr>
                <w:rFonts w:ascii="Times New Roman" w:eastAsia="Times New Roman" w:hAnsi="Times New Roman" w:cs="Times New Roman"/>
                <w:b/>
                <w:bCs/>
                <w:sz w:val="16"/>
                <w:szCs w:val="16"/>
                <w:lang w:val="ru-RU" w:eastAsia="ru-RU" w:bidi="ar-SA"/>
              </w:rPr>
              <w:t>решения Совета депутатов Имекского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Исключена (в редакции </w:t>
            </w:r>
            <w:r w:rsidR="00F069EF" w:rsidRPr="00F069EF">
              <w:rPr>
                <w:rFonts w:ascii="Times New Roman" w:hAnsi="Times New Roman" w:cs="Times New Roman"/>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2E750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2E750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0" w:name="_Toc276032722"/>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2E7509"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2E750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w:t>
            </w:r>
            <w:r w:rsidR="003A0331">
              <w:rPr>
                <w:rFonts w:ascii="Times New Roman" w:eastAsia="Times New Roman" w:hAnsi="Times New Roman" w:cs="Times New Roman"/>
                <w:sz w:val="28"/>
                <w:szCs w:val="20"/>
                <w:lang w:val="ru-RU" w:eastAsia="ru-RU" w:bidi="ar-SA"/>
              </w:rPr>
              <w:t>аницы участка);</w:t>
            </w:r>
          </w:p>
          <w:p w:rsidR="003A0331" w:rsidRPr="00701942" w:rsidRDefault="003A0331" w:rsidP="003A033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-площадки: детские, площадки отдыха. (в редакции решения Совета депутатов Имекского сельсовета от 28.12.2018г. № 53)</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A0331">
              <w:rPr>
                <w:rFonts w:ascii="Times New Roman" w:eastAsia="Times New Roman" w:hAnsi="Times New Roman" w:cs="Times New Roman"/>
                <w:sz w:val="28"/>
                <w:szCs w:val="20"/>
                <w:lang w:val="ru-RU" w:eastAsia="ru-RU" w:bidi="ar-SA"/>
              </w:rPr>
              <w:t>(исключена в редакции решения Совета депутатов Имекского сельсовета от 28.12.2018г. № 53)</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индивидуальные тепловые пункты.</w:t>
            </w:r>
          </w:p>
        </w:tc>
      </w:tr>
      <w:tr w:rsidR="00701942" w:rsidRPr="002E750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 xml:space="preserve">ных организаций, фирм, </w:t>
            </w:r>
            <w:r w:rsidR="00A472FE">
              <w:rPr>
                <w:rFonts w:ascii="Times New Roman" w:eastAsia="Times New Roman" w:hAnsi="Times New Roman" w:cs="Times New Roman"/>
                <w:sz w:val="28"/>
                <w:szCs w:val="20"/>
                <w:lang w:val="ru-RU" w:eastAsia="ru-RU" w:bidi="ar-SA"/>
              </w:rPr>
              <w:lastRenderedPageBreak/>
              <w:t>компаний;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(мусороудаление) с контейнерами;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906E3F">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E750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2E7509"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0,06га</w:t>
            </w:r>
          </w:p>
        </w:tc>
      </w:tr>
      <w:tr w:rsidR="00906E3F" w:rsidRPr="00701942"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0,25га</w:t>
            </w:r>
          </w:p>
        </w:tc>
      </w:tr>
      <w:tr w:rsidR="00906E3F" w:rsidRPr="00906E3F"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906E3F"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мансардного</w:t>
            </w:r>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2E750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w:t>
            </w:r>
            <w:r w:rsidRPr="00701942">
              <w:rPr>
                <w:rFonts w:ascii="Times New Roman" w:eastAsia="Times New Roman" w:hAnsi="Times New Roman" w:cs="Times New Roman"/>
                <w:sz w:val="28"/>
                <w:szCs w:val="20"/>
                <w:lang w:val="ru-RU" w:eastAsia="ru-RU" w:bidi="ar-SA"/>
              </w:rPr>
              <w:lastRenderedPageBreak/>
              <w:t>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2E750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2E750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2E7509"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2E750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сады, огороды¸ палисадники (в пределах границ </w:t>
            </w:r>
            <w:r w:rsidRPr="00701942">
              <w:rPr>
                <w:rFonts w:ascii="Times New Roman" w:eastAsia="Times New Roman" w:hAnsi="Times New Roman" w:cs="Times New Roman"/>
                <w:sz w:val="28"/>
                <w:szCs w:val="20"/>
                <w:lang w:val="ru-RU" w:eastAsia="ru-RU" w:bidi="ar-SA"/>
              </w:rPr>
              <w:lastRenderedPageBreak/>
              <w:t>земельного участка, запрещается палисадники выводить за границы участка).</w:t>
            </w:r>
          </w:p>
        </w:tc>
      </w:tr>
      <w:tr w:rsidR="00701942" w:rsidRPr="002E750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 машины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2E750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E750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2E7509"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492EE8">
              <w:rPr>
                <w:rFonts w:ascii="Times New Roman" w:eastAsia="Times New Roman" w:hAnsi="Times New Roman" w:cs="Times New Roman"/>
                <w:b/>
                <w:bCs/>
                <w:sz w:val="28"/>
                <w:szCs w:val="20"/>
                <w:lang w:val="ru-RU" w:eastAsia="ru-RU" w:bidi="ar-SA"/>
              </w:rPr>
              <w:t xml:space="preserve"> (</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не считая мансардного</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2E750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минимальная (максимальная) площадь земельных </w:t>
            </w:r>
            <w:r w:rsidRPr="00701942">
              <w:rPr>
                <w:rFonts w:ascii="Times New Roman" w:eastAsia="Times New Roman" w:hAnsi="Times New Roman" w:cs="Times New Roman"/>
                <w:sz w:val="28"/>
                <w:szCs w:val="20"/>
                <w:lang w:val="ru-RU" w:eastAsia="ru-RU" w:bidi="ar-SA"/>
              </w:rPr>
              <w:lastRenderedPageBreak/>
              <w:t>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2E7509"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 xml:space="preserve">азмещение в санитарно – защитной зоне новых жилых </w:t>
            </w:r>
            <w:r w:rsidR="00701942" w:rsidRPr="00701942">
              <w:rPr>
                <w:rFonts w:ascii="Times New Roman" w:eastAsia="Times New Roman" w:hAnsi="Times New Roman" w:cs="Times New Roman"/>
                <w:sz w:val="28"/>
                <w:szCs w:val="20"/>
                <w:lang w:val="ru-RU" w:eastAsia="ru-RU" w:bidi="ar-SA"/>
              </w:rPr>
              <w:lastRenderedPageBreak/>
              <w:t>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Максимальное количество этажей, не считая мансардного</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2E7509"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xml:space="preserve">Территория, предназначенная для жилой застройки за пределами </w:t>
      </w:r>
      <w:r w:rsidRPr="00701942">
        <w:rPr>
          <w:rFonts w:ascii="Times New Roman" w:eastAsia="Times New Roman" w:hAnsi="Times New Roman" w:cs="Times New Roman"/>
          <w:b/>
          <w:bCs/>
          <w:i/>
          <w:iCs/>
          <w:sz w:val="28"/>
          <w:szCs w:val="20"/>
          <w:lang w:val="ru-RU" w:eastAsia="ru-RU" w:bidi="ar-SA"/>
        </w:rPr>
        <w:lastRenderedPageBreak/>
        <w:t>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постановления от 24.11.2016г. № 224)</w:t>
            </w:r>
          </w:p>
        </w:tc>
      </w:tr>
      <w:tr w:rsidR="00701942" w:rsidRPr="0037515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w:t>
      </w:r>
      <w:r w:rsidRPr="00701942">
        <w:rPr>
          <w:rFonts w:ascii="Times New Roman" w:eastAsia="Times New Roman" w:hAnsi="Times New Roman" w:cs="Times New Roman"/>
          <w:sz w:val="28"/>
          <w:szCs w:val="20"/>
          <w:lang w:val="ru-RU" w:eastAsia="ru-RU" w:bidi="ar-SA"/>
        </w:rPr>
        <w:lastRenderedPageBreak/>
        <w:t>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решения Совета депутатов Имекского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EB0275"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делового назначения (офисы, агенства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2E7509">
              <w:rPr>
                <w:rFonts w:ascii="Times New Roman" w:eastAsia="Times New Roman" w:hAnsi="Times New Roman" w:cs="Times New Roman"/>
                <w:sz w:val="28"/>
                <w:szCs w:val="20"/>
                <w:lang w:val="ru-RU" w:eastAsia="ru-RU" w:bidi="ar-SA"/>
              </w:rPr>
              <w:t>амбулаторно-поликлиническое обслуживание; (в редакции решения С</w:t>
            </w:r>
            <w:bookmarkStart w:id="1" w:name="_GoBack"/>
            <w:bookmarkEnd w:id="1"/>
            <w:r w:rsidR="002E7509">
              <w:rPr>
                <w:rFonts w:ascii="Times New Roman" w:eastAsia="Times New Roman" w:hAnsi="Times New Roman" w:cs="Times New Roman"/>
                <w:sz w:val="28"/>
                <w:szCs w:val="20"/>
                <w:lang w:val="ru-RU" w:eastAsia="ru-RU" w:bidi="ar-SA"/>
              </w:rPr>
              <w:t>овета депутатов Имекского сельсовета от 28.06.2019г. № 26)</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охраны общественного порядка.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2E7509"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w:t>
            </w:r>
            <w:r w:rsidRPr="00701942">
              <w:rPr>
                <w:rFonts w:ascii="Times New Roman" w:eastAsia="Times New Roman" w:hAnsi="Times New Roman" w:cs="Times New Roman"/>
                <w:sz w:val="28"/>
                <w:szCs w:val="20"/>
                <w:lang w:val="ru-RU" w:eastAsia="ru-RU" w:bidi="ar-SA"/>
              </w:rPr>
              <w:lastRenderedPageBreak/>
              <w:t>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Устройство бордюрного обрамления, проезжей части </w:t>
            </w:r>
            <w:r w:rsidRPr="00701942">
              <w:rPr>
                <w:rFonts w:ascii="Times New Roman" w:eastAsia="Times New Roman" w:hAnsi="Times New Roman" w:cs="Times New Roman"/>
                <w:sz w:val="28"/>
                <w:szCs w:val="20"/>
                <w:lang w:val="ru-RU" w:eastAsia="ru-RU" w:bidi="ar-SA"/>
              </w:rPr>
              <w:lastRenderedPageBreak/>
              <w:t>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роллердромы</w:t>
            </w:r>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201906" w:rsidRPr="00701942" w:rsidRDefault="006303E4"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7728CE" w:rsidRPr="002E7509"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7728CE" w:rsidRPr="001D1C91" w:rsidRDefault="007728CE" w:rsidP="00FC26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7728CE" w:rsidRPr="00701942" w:rsidRDefault="007728CE" w:rsidP="001D1C91">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7728CE" w:rsidRPr="00CD0344" w:rsidRDefault="007728CE" w:rsidP="00CD0344">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7728CE" w:rsidRP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7728CE">
              <w:rPr>
                <w:rFonts w:ascii="Times New Roman" w:eastAsia="Times New Roman" w:hAnsi="Times New Roman" w:cs="Times New Roman"/>
                <w:bCs/>
                <w:sz w:val="28"/>
                <w:szCs w:val="20"/>
                <w:lang w:val="ru-RU" w:eastAsia="ru-RU" w:bidi="ar-SA"/>
              </w:rPr>
              <w:t>)</w:t>
            </w:r>
          </w:p>
          <w:p w:rsidR="007728CE" w:rsidRPr="007728CE" w:rsidRDefault="007728CE" w:rsidP="007728CE">
            <w:pPr>
              <w:widowControl w:val="0"/>
              <w:rPr>
                <w:rFonts w:ascii="Times New Roman" w:eastAsia="Times New Roman" w:hAnsi="Times New Roman" w:cs="Times New Roman"/>
                <w:bCs/>
                <w:sz w:val="28"/>
                <w:szCs w:val="20"/>
                <w:lang w:val="ru-RU" w:eastAsia="ru-RU" w:bidi="ar-SA"/>
              </w:rPr>
            </w:pP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701942"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Vклассов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коммунально-технические центры </w:t>
            </w:r>
            <w:r w:rsidR="009E4432">
              <w:rPr>
                <w:rFonts w:ascii="Times New Roman" w:eastAsia="Times New Roman" w:hAnsi="Times New Roman" w:cs="Times New Roman"/>
                <w:sz w:val="28"/>
                <w:szCs w:val="20"/>
                <w:lang w:val="ru-RU" w:eastAsia="ru-RU" w:bidi="ar-SA"/>
              </w:rPr>
              <w:t>обслуживания сельских поселений;</w:t>
            </w:r>
          </w:p>
          <w:p w:rsidR="009E4432" w:rsidRPr="00701942" w:rsidRDefault="009E4432"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специальная деятельность.(в редакции Решения Совета депутатов Имекского сельсовета от 10.10.2018г. № 39)</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
          <w:p w:rsidR="00B90866" w:rsidRDefault="00327A1F" w:rsidP="00A15FC6">
            <w:pPr>
              <w:widowControl w:val="0"/>
              <w:jc w:val="center"/>
              <w:rPr>
                <w:rFonts w:asciiTheme="majorHAnsi" w:hAnsiTheme="majorHAnsi" w:cstheme="majorHAnsi"/>
                <w:sz w:val="28"/>
                <w:szCs w:val="28"/>
                <w:lang w:val="ru-RU"/>
              </w:rPr>
            </w:pP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инженерной инфраструктуры предназначены для размещения и функционирования магистральных инженерных сетей энергообеспечения, связи, водоснабжения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Включение земельных участков в состав зоны инженерной </w:t>
      </w:r>
      <w:r w:rsidRPr="00701942">
        <w:rPr>
          <w:rFonts w:ascii="Times New Roman" w:eastAsia="Times New Roman" w:hAnsi="Times New Roman" w:cs="Times New Roman"/>
          <w:sz w:val="28"/>
          <w:szCs w:val="20"/>
          <w:lang w:val="ru-RU" w:eastAsia="ru-RU" w:bidi="ar-SA"/>
        </w:rPr>
        <w:lastRenderedPageBreak/>
        <w:t>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И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2E750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w:t>
            </w:r>
            <w:r w:rsidR="003A0331">
              <w:rPr>
                <w:rFonts w:ascii="Times New Roman" w:eastAsia="Times New Roman" w:hAnsi="Times New Roman" w:cs="Times New Roman"/>
                <w:sz w:val="28"/>
                <w:szCs w:val="20"/>
                <w:lang w:val="ru-RU" w:eastAsia="ru-RU" w:bidi="ar-SA"/>
              </w:rPr>
              <w:t>онторы, административные службы;</w:t>
            </w:r>
          </w:p>
          <w:p w:rsidR="003A0331" w:rsidRPr="00701942" w:rsidRDefault="003A0331" w:rsidP="005229D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ветеринарный участок.(в редакции решения Совета депутатов от 28.12.2018г. № 53)</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2E750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r w:rsidR="003A0331">
              <w:rPr>
                <w:rFonts w:ascii="Times New Roman" w:eastAsia="Times New Roman" w:hAnsi="Times New Roman" w:cs="Times New Roman"/>
                <w:sz w:val="28"/>
                <w:szCs w:val="20"/>
                <w:lang w:val="ru-RU" w:eastAsia="ru-RU" w:bidi="ar-SA"/>
              </w:rPr>
              <w:t>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lastRenderedPageBreak/>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Проектная документация на строительство и реконструкцию инженерных коммуникаций и </w:t>
            </w:r>
            <w:r w:rsidRPr="00701942">
              <w:rPr>
                <w:rFonts w:ascii="Times New Roman" w:eastAsia="Times New Roman" w:hAnsi="Times New Roman" w:cs="Times New Roman"/>
                <w:sz w:val="28"/>
                <w:szCs w:val="20"/>
                <w:lang w:val="ru-RU" w:eastAsia="ru-RU" w:bidi="ar-SA"/>
              </w:rPr>
              <w:lastRenderedPageBreak/>
              <w:t>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получить разрешение или согласование трассы от </w:t>
            </w:r>
            <w:r w:rsidRPr="00701942">
              <w:rPr>
                <w:rFonts w:ascii="Times New Roman" w:eastAsia="Times New Roman" w:hAnsi="Times New Roman" w:cs="Times New Roman"/>
                <w:sz w:val="28"/>
                <w:szCs w:val="20"/>
                <w:lang w:val="ru-RU" w:eastAsia="ru-RU" w:bidi="ar-SA"/>
              </w:rPr>
              <w:lastRenderedPageBreak/>
              <w:t>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объектов электроснабжения и водоотведения </w:t>
            </w:r>
            <w:r w:rsidRPr="00701942">
              <w:rPr>
                <w:rFonts w:ascii="Times New Roman" w:eastAsia="Times New Roman" w:hAnsi="Times New Roman" w:cs="Times New Roman"/>
                <w:sz w:val="28"/>
                <w:szCs w:val="20"/>
                <w:lang w:val="ru-RU" w:eastAsia="ru-RU" w:bidi="ar-SA"/>
              </w:rPr>
              <w:lastRenderedPageBreak/>
              <w:t>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r w:rsidR="00327A1F" w:rsidRPr="00327A1F">
        <w:rPr>
          <w:rFonts w:ascii="Times New Roman" w:eastAsia="Times New Roman" w:hAnsi="Times New Roman" w:cs="Times New Roman"/>
          <w:bCs/>
          <w:sz w:val="28"/>
          <w:szCs w:val="20"/>
          <w:lang w:val="ru-RU" w:eastAsia="ru-RU" w:bidi="ar-SA"/>
        </w:rPr>
        <w:t xml:space="preserve">Исключена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реконструируемые, строящиеся автомобильные дороги, для движения автотранспорта четвертой и пятой технической категории.</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объекты Государственной инспекции безопасности </w:t>
            </w:r>
            <w:r w:rsidRPr="00701942">
              <w:rPr>
                <w:rFonts w:ascii="Times New Roman" w:eastAsia="Times New Roman" w:hAnsi="Times New Roman" w:cs="Times New Roman"/>
                <w:sz w:val="28"/>
                <w:szCs w:val="20"/>
                <w:lang w:val="ru-RU" w:eastAsia="ru-RU" w:bidi="ar-SA"/>
              </w:rPr>
              <w:lastRenderedPageBreak/>
              <w:t>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автомобильного транспорта.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остановочные павильоны, места для остановки 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элементы внешнего благоустройства и инженерного </w:t>
            </w:r>
            <w:r w:rsidRPr="00701942">
              <w:rPr>
                <w:rFonts w:ascii="Times New Roman" w:eastAsia="Times New Roman" w:hAnsi="Times New Roman" w:cs="Times New Roman"/>
                <w:sz w:val="28"/>
                <w:szCs w:val="20"/>
                <w:lang w:val="ru-RU" w:eastAsia="ru-RU" w:bidi="ar-SA"/>
              </w:rPr>
              <w:lastRenderedPageBreak/>
              <w:t>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АЗС согласно расч</w:t>
            </w:r>
            <w:r w:rsidR="00E53486">
              <w:rPr>
                <w:rFonts w:ascii="Times New Roman" w:eastAsia="Times New Roman" w:hAnsi="Times New Roman" w:cs="Times New Roman"/>
                <w:sz w:val="28"/>
                <w:szCs w:val="20"/>
                <w:lang w:val="ru-RU" w:eastAsia="ru-RU" w:bidi="ar-SA"/>
              </w:rPr>
              <w:t>етам и специальному 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2E750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Исключена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w:t>
      </w:r>
      <w:r w:rsidRPr="00701942">
        <w:rPr>
          <w:rFonts w:ascii="Times New Roman" w:eastAsia="Times New Roman" w:hAnsi="Times New Roman" w:cs="Times New Roman"/>
          <w:i/>
          <w:iCs/>
          <w:sz w:val="28"/>
          <w:szCs w:val="20"/>
          <w:lang w:val="ru-RU" w:eastAsia="ru-RU" w:bidi="ar-SA"/>
        </w:rPr>
        <w:lastRenderedPageBreak/>
        <w:t>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2E750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FF6FDE">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w:t>
            </w:r>
          </w:p>
          <w:p w:rsidR="00B90866" w:rsidRDefault="00582ABE" w:rsidP="00FF6FDE">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sidRPr="00582ABE">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FF6FDE">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582ABE"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701942" w:rsidRPr="00701942"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2E750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Основные </w:t>
            </w:r>
            <w:r w:rsidR="00F73ED4">
              <w:rPr>
                <w:rFonts w:ascii="Times New Roman" w:eastAsia="Times New Roman" w:hAnsi="Times New Roman" w:cs="Times New Roman"/>
                <w:sz w:val="28"/>
                <w:szCs w:val="20"/>
                <w:lang w:val="ru-RU" w:eastAsia="ru-RU" w:bidi="ar-SA"/>
              </w:rPr>
              <w:t xml:space="preserve">виды </w:t>
            </w:r>
            <w:r w:rsidR="00F73ED4">
              <w:rPr>
                <w:rFonts w:ascii="Times New Roman" w:eastAsia="Times New Roman" w:hAnsi="Times New Roman" w:cs="Times New Roman"/>
                <w:sz w:val="28"/>
                <w:szCs w:val="20"/>
                <w:lang w:val="ru-RU" w:eastAsia="ru-RU" w:bidi="ar-SA"/>
              </w:rPr>
              <w:lastRenderedPageBreak/>
              <w:t>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лугопарки,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6C71A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 </w:t>
            </w:r>
          </w:p>
          <w:p w:rsidR="002930A2" w:rsidRDefault="00582ABE" w:rsidP="006C71AC">
            <w:pPr>
              <w:widowControl w:val="0"/>
              <w:jc w:val="center"/>
              <w:rPr>
                <w:rFonts w:asciiTheme="majorHAnsi" w:hAnsiTheme="majorHAnsi" w:cstheme="majorHAnsi"/>
                <w:sz w:val="28"/>
                <w:szCs w:val="28"/>
                <w:lang w:val="ru-RU"/>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701942" w:rsidRDefault="002930A2" w:rsidP="006C71A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8504A6" w:rsidRDefault="008504A6"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Исключен </w:t>
            </w:r>
          </w:p>
          <w:p w:rsidR="00701942" w:rsidRPr="00701942" w:rsidRDefault="008504A6" w:rsidP="00F73ED4">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решения Совета депутатов Имекского сельсовета от 16.02.2017г. № 3</w:t>
            </w:r>
            <w:r w:rsidRPr="00582ABE">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r w:rsidRPr="00701942">
              <w:rPr>
                <w:rFonts w:ascii="Times New Roman" w:eastAsia="Times New Roman" w:hAnsi="Times New Roman" w:cs="Times New Roman"/>
                <w:sz w:val="28"/>
                <w:szCs w:val="20"/>
                <w:lang w:val="ru-RU" w:eastAsia="ru-RU" w:bidi="ar-SA"/>
              </w:rPr>
              <w:lastRenderedPageBreak/>
              <w:t>водоохранных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r w:rsidRPr="00701942">
              <w:rPr>
                <w:rFonts w:ascii="Times New Roman" w:eastAsia="Times New Roman" w:hAnsi="Times New Roman" w:cs="Times New Roman"/>
                <w:sz w:val="28"/>
                <w:szCs w:val="20"/>
                <w:lang w:val="ru-RU" w:eastAsia="ru-RU" w:bidi="ar-SA"/>
              </w:rPr>
              <w:lastRenderedPageBreak/>
              <w:t>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B07548"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B07548">
              <w:rPr>
                <w:rFonts w:ascii="Times New Roman" w:eastAsia="Times New Roman" w:hAnsi="Times New Roman" w:cs="Times New Roman"/>
                <w:b/>
                <w:bCs/>
                <w:sz w:val="28"/>
                <w:szCs w:val="20"/>
                <w:lang w:val="ru-RU" w:eastAsia="ru-RU" w:bidi="ar-SA"/>
              </w:rPr>
              <w:t xml:space="preserve"> не предусмотрены</w:t>
            </w:r>
          </w:p>
          <w:p w:rsidR="002930A2" w:rsidRDefault="00B07548" w:rsidP="00FC2628">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(в редакции </w:t>
            </w:r>
            <w:r w:rsidR="002930A2" w:rsidRPr="00F069EF">
              <w:rPr>
                <w:rFonts w:asciiTheme="majorHAnsi" w:hAnsiTheme="majorHAnsi" w:cstheme="majorHAnsi"/>
                <w:sz w:val="28"/>
                <w:szCs w:val="28"/>
                <w:lang w:val="ru-RU"/>
              </w:rPr>
              <w:t>решения Совета депутатов Имекского сельсовета</w:t>
            </w:r>
          </w:p>
          <w:p w:rsidR="00701942" w:rsidRPr="00B07548" w:rsidRDefault="002930A2"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B07548" w:rsidRPr="00B07548">
              <w:rPr>
                <w:rFonts w:ascii="Times New Roman" w:eastAsia="Times New Roman" w:hAnsi="Times New Roman" w:cs="Times New Roman"/>
                <w:bCs/>
                <w:sz w:val="28"/>
                <w:szCs w:val="20"/>
                <w:lang w:val="ru-RU" w:eastAsia="ru-RU" w:bidi="ar-SA"/>
              </w:rPr>
              <w:t>)</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8504A6" w:rsidRDefault="008504A6"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E7509"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A532F2" w:rsidRDefault="00701942" w:rsidP="00A532F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A532F2">
              <w:rPr>
                <w:rFonts w:ascii="Times New Roman" w:eastAsia="Times New Roman" w:hAnsi="Times New Roman" w:cs="Times New Roman"/>
                <w:b/>
                <w:bCs/>
                <w:sz w:val="28"/>
                <w:szCs w:val="20"/>
                <w:lang w:val="ru-RU" w:eastAsia="ru-RU" w:bidi="ar-SA"/>
              </w:rPr>
              <w:t xml:space="preserve"> не предусмотрены </w:t>
            </w:r>
          </w:p>
          <w:p w:rsidR="002930A2" w:rsidRDefault="00A532F2" w:rsidP="00A532F2">
            <w:pPr>
              <w:widowControl w:val="0"/>
              <w:jc w:val="center"/>
              <w:rPr>
                <w:rFonts w:asciiTheme="majorHAnsi" w:hAnsiTheme="majorHAnsi" w:cstheme="majorHAnsi"/>
                <w:sz w:val="28"/>
                <w:szCs w:val="28"/>
                <w:lang w:val="ru-RU"/>
              </w:rPr>
            </w:pPr>
            <w:r w:rsidRPr="00A532F2">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A532F2" w:rsidRDefault="002930A2" w:rsidP="00A532F2">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A532F2" w:rsidRPr="00A532F2">
              <w:rPr>
                <w:rFonts w:ascii="Times New Roman" w:eastAsia="Times New Roman" w:hAnsi="Times New Roman" w:cs="Times New Roman"/>
                <w:bCs/>
                <w:sz w:val="28"/>
                <w:szCs w:val="20"/>
                <w:lang w:val="ru-RU" w:eastAsia="ru-RU" w:bidi="ar-SA"/>
              </w:rPr>
              <w:t>)</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2E750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2E750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 xml:space="preserve">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w:t>
      </w:r>
      <w:r w:rsidR="00701942" w:rsidRPr="00701942">
        <w:rPr>
          <w:rFonts w:ascii="Times New Roman" w:eastAsia="Times New Roman" w:hAnsi="Times New Roman" w:cs="Times New Roman"/>
          <w:sz w:val="28"/>
          <w:szCs w:val="20"/>
          <w:lang w:val="ru-RU" w:eastAsia="ru-RU" w:bidi="ar-SA"/>
        </w:rPr>
        <w:lastRenderedPageBreak/>
        <w:t>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процедурам подготовки планировочной и проектной документации и </w:t>
      </w:r>
      <w:r w:rsidRPr="00701942">
        <w:rPr>
          <w:rFonts w:ascii="Times New Roman" w:eastAsia="Times New Roman" w:hAnsi="Times New Roman" w:cs="Times New Roman"/>
          <w:sz w:val="28"/>
          <w:szCs w:val="20"/>
          <w:lang w:val="ru-RU" w:eastAsia="ru-RU" w:bidi="ar-SA"/>
        </w:rPr>
        <w:lastRenderedPageBreak/>
        <w:t>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w:t>
      </w:r>
      <w:r w:rsidRPr="00701942">
        <w:rPr>
          <w:rFonts w:ascii="Times New Roman" w:eastAsia="Times New Roman" w:hAnsi="Times New Roman" w:cs="Times New Roman"/>
          <w:i/>
          <w:iCs/>
          <w:sz w:val="28"/>
          <w:szCs w:val="20"/>
          <w:lang w:val="ru-RU" w:eastAsia="ru-RU" w:bidi="ar-SA"/>
        </w:rPr>
        <w:lastRenderedPageBreak/>
        <w:t>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На территории зон санитарной охраны источников питьевого </w:t>
      </w:r>
      <w:r w:rsidRPr="00701942">
        <w:rPr>
          <w:rFonts w:ascii="Times New Roman" w:eastAsia="Times New Roman" w:hAnsi="Times New Roman" w:cs="Times New Roman"/>
          <w:sz w:val="28"/>
          <w:szCs w:val="20"/>
          <w:lang w:val="ru-RU" w:eastAsia="ru-RU" w:bidi="ar-SA"/>
        </w:rPr>
        <w:lastRenderedPageBreak/>
        <w:t>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5) все водозаборы должны быть оборудованы аппаратурой для систематического контроля соответствия фактического дебита при эксплуатации </w:t>
      </w:r>
      <w:r w:rsidRPr="00701942">
        <w:rPr>
          <w:rFonts w:ascii="Times New Roman" w:eastAsia="Times New Roman" w:hAnsi="Times New Roman" w:cs="Times New Roman"/>
          <w:sz w:val="28"/>
          <w:szCs w:val="20"/>
          <w:lang w:val="ru-RU" w:eastAsia="ru-RU" w:bidi="ar-SA"/>
        </w:rPr>
        <w:lastRenderedPageBreak/>
        <w:t>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выполнение мероприятий по санитарному благоустройству территории </w:t>
      </w:r>
      <w:r w:rsidRPr="00701942">
        <w:rPr>
          <w:rFonts w:ascii="Times New Roman" w:eastAsia="Times New Roman" w:hAnsi="Times New Roman" w:cs="Times New Roman"/>
          <w:sz w:val="28"/>
          <w:szCs w:val="20"/>
          <w:lang w:val="ru-RU" w:eastAsia="ru-RU" w:bidi="ar-SA"/>
        </w:rPr>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 xml:space="preserve">Виды запрещенного использования земельных участков и иных объектов </w:t>
      </w:r>
      <w:r w:rsidR="00701942" w:rsidRPr="00172B17">
        <w:rPr>
          <w:rFonts w:ascii="Times New Roman" w:eastAsia="Times New Roman" w:hAnsi="Times New Roman" w:cs="Times New Roman"/>
          <w:b/>
          <w:bCs/>
          <w:sz w:val="28"/>
          <w:szCs w:val="20"/>
          <w:lang w:val="ru-RU" w:eastAsia="ru-RU" w:bidi="ar-SA"/>
        </w:rPr>
        <w:lastRenderedPageBreak/>
        <w:t>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гаражи, площадки и сооружения для хранения общественного и </w:t>
      </w:r>
      <w:r w:rsidRPr="00701942">
        <w:rPr>
          <w:rFonts w:ascii="Times New Roman" w:eastAsia="Times New Roman" w:hAnsi="Times New Roman" w:cs="Times New Roman"/>
          <w:sz w:val="28"/>
          <w:szCs w:val="20"/>
          <w:lang w:val="ru-RU" w:eastAsia="ru-RU" w:bidi="ar-SA"/>
        </w:rPr>
        <w:lastRenderedPageBreak/>
        <w:t>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мероприятия по защите населения от воздействия выбросов вредных </w:t>
      </w:r>
      <w:r w:rsidRPr="00701942">
        <w:rPr>
          <w:rFonts w:ascii="Times New Roman" w:eastAsia="Times New Roman" w:hAnsi="Times New Roman" w:cs="Times New Roman"/>
          <w:sz w:val="28"/>
          <w:szCs w:val="20"/>
          <w:lang w:val="ru-RU" w:eastAsia="ru-RU" w:bidi="ar-SA"/>
        </w:rPr>
        <w:lastRenderedPageBreak/>
        <w:t>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 xml:space="preserve">Дополнительные градостроительные регламенты на </w:t>
      </w:r>
      <w:r w:rsidRPr="00701942">
        <w:rPr>
          <w:rFonts w:ascii="Times New Roman" w:eastAsia="Times New Roman" w:hAnsi="Times New Roman" w:cs="Times New Roman"/>
          <w:b/>
          <w:bCs/>
          <w:sz w:val="28"/>
          <w:szCs w:val="20"/>
          <w:lang w:val="ru-RU" w:eastAsia="ru-RU" w:bidi="ar-SA"/>
        </w:rPr>
        <w:lastRenderedPageBreak/>
        <w:t>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w:t>
      </w:r>
      <w:r w:rsidRPr="00701942">
        <w:rPr>
          <w:rFonts w:ascii="Times New Roman" w:eastAsia="Times New Roman" w:hAnsi="Times New Roman" w:cs="Times New Roman"/>
          <w:sz w:val="28"/>
          <w:szCs w:val="20"/>
          <w:lang w:val="ru-RU" w:eastAsia="ru-RU" w:bidi="ar-SA"/>
        </w:rPr>
        <w:lastRenderedPageBreak/>
        <w:t>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w:t>
      </w:r>
      <w:r w:rsidRPr="00701942">
        <w:rPr>
          <w:rFonts w:ascii="Times New Roman" w:eastAsia="Times New Roman" w:hAnsi="Times New Roman" w:cs="Times New Roman"/>
          <w:sz w:val="28"/>
          <w:szCs w:val="20"/>
          <w:lang w:val="ru-RU" w:eastAsia="ru-RU" w:bidi="ar-SA"/>
        </w:rPr>
        <w:lastRenderedPageBreak/>
        <w:t>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выполнять требования по содержанию и благоустройству земельного участка и прилегающей территории в соответствии с договором аренды </w:t>
      </w:r>
      <w:r w:rsidRPr="00701942">
        <w:rPr>
          <w:rFonts w:ascii="Times New Roman" w:eastAsia="Times New Roman" w:hAnsi="Times New Roman" w:cs="Times New Roman"/>
          <w:sz w:val="28"/>
          <w:szCs w:val="20"/>
          <w:lang w:val="ru-RU" w:eastAsia="ru-RU" w:bidi="ar-SA"/>
        </w:rPr>
        <w:lastRenderedPageBreak/>
        <w:t>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Default="00701942" w:rsidP="007B2DB3">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знаки адресации - аншлаги (указатели наименований улиц, площадей, </w:t>
      </w:r>
      <w:r w:rsidRPr="00701942">
        <w:rPr>
          <w:rFonts w:ascii="Times New Roman" w:eastAsia="Times New Roman" w:hAnsi="Times New Roman" w:cs="Times New Roman"/>
          <w:sz w:val="28"/>
          <w:szCs w:val="20"/>
          <w:lang w:val="ru-RU" w:eastAsia="ru-RU" w:bidi="ar-SA"/>
        </w:rPr>
        <w:lastRenderedPageBreak/>
        <w:t>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разработанную проектную документацию или паспорт типового элемента </w:t>
      </w:r>
      <w:r w:rsidRPr="00701942">
        <w:rPr>
          <w:rFonts w:ascii="Times New Roman" w:eastAsia="Times New Roman" w:hAnsi="Times New Roman" w:cs="Times New Roman"/>
          <w:sz w:val="28"/>
          <w:szCs w:val="20"/>
          <w:lang w:val="ru-RU" w:eastAsia="ru-RU" w:bidi="ar-SA"/>
        </w:rPr>
        <w:lastRenderedPageBreak/>
        <w:t>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Малые архитектурные формы, коммунальное оборудование, индивидуальные и типовые элементы благоустройства (цветочные вазы, скамьи, </w:t>
      </w:r>
      <w:r w:rsidRPr="00701942">
        <w:rPr>
          <w:rFonts w:ascii="Times New Roman" w:eastAsia="Times New Roman" w:hAnsi="Times New Roman" w:cs="Times New Roman"/>
          <w:sz w:val="28"/>
          <w:szCs w:val="20"/>
          <w:lang w:val="ru-RU" w:eastAsia="ru-RU" w:bidi="ar-SA"/>
        </w:rPr>
        <w:lastRenderedPageBreak/>
        <w:t>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Выезды со строительных площадок на асфальтовое покрытие дорог </w:t>
      </w:r>
      <w:r w:rsidRPr="00701942">
        <w:rPr>
          <w:rFonts w:ascii="Times New Roman" w:eastAsia="Times New Roman" w:hAnsi="Times New Roman" w:cs="Times New Roman"/>
          <w:sz w:val="28"/>
          <w:szCs w:val="20"/>
          <w:lang w:val="ru-RU" w:eastAsia="ru-RU" w:bidi="ar-SA"/>
        </w:rPr>
        <w:lastRenderedPageBreak/>
        <w:t>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работы по восстановлению утраченных элементов озеленения на </w:t>
      </w:r>
      <w:r w:rsidRPr="00701942">
        <w:rPr>
          <w:rFonts w:ascii="Times New Roman" w:eastAsia="Times New Roman" w:hAnsi="Times New Roman" w:cs="Times New Roman"/>
          <w:sz w:val="28"/>
          <w:szCs w:val="20"/>
          <w:lang w:val="ru-RU" w:eastAsia="ru-RU" w:bidi="ar-SA"/>
        </w:rPr>
        <w:lastRenderedPageBreak/>
        <w:t>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w:t>
            </w:r>
            <w:r w:rsidRPr="00701942">
              <w:rPr>
                <w:rFonts w:ascii="Times New Roman" w:eastAsia="Times New Roman" w:hAnsi="Times New Roman" w:cs="Times New Roman"/>
                <w:i/>
                <w:iCs/>
                <w:sz w:val="28"/>
                <w:szCs w:val="20"/>
                <w:lang w:val="ru-RU" w:eastAsia="ru-RU" w:bidi="ar-SA"/>
              </w:rPr>
              <w:lastRenderedPageBreak/>
              <w:t xml:space="preserve">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Сараи для скота и птицы следует предусматривать на расстоянии от окон </w:t>
      </w:r>
      <w:r w:rsidRPr="00701942">
        <w:rPr>
          <w:rFonts w:ascii="Times New Roman" w:eastAsia="Times New Roman" w:hAnsi="Times New Roman" w:cs="Times New Roman"/>
          <w:sz w:val="28"/>
          <w:szCs w:val="20"/>
          <w:lang w:val="ru-RU" w:eastAsia="ru-RU" w:bidi="ar-SA"/>
        </w:rPr>
        <w:lastRenderedPageBreak/>
        <w:t>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2E7509"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2E7509"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2E750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E2" w:rsidRDefault="00B945E2" w:rsidP="0042244C">
      <w:pPr>
        <w:spacing w:line="240" w:lineRule="auto"/>
      </w:pPr>
      <w:r>
        <w:separator/>
      </w:r>
    </w:p>
  </w:endnote>
  <w:endnote w:type="continuationSeparator" w:id="0">
    <w:p w:rsidR="00B945E2" w:rsidRDefault="00B945E2"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2" w:rsidRPr="00E154A1" w:rsidRDefault="00626182">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2E7509" w:rsidRPr="002E7509">
      <w:rPr>
        <w:i/>
        <w:noProof/>
        <w:color w:val="632423" w:themeColor="accent2" w:themeShade="80"/>
        <w:sz w:val="24"/>
        <w:szCs w:val="24"/>
        <w:lang w:val="ru-RU"/>
      </w:rPr>
      <w:t>36</w:t>
    </w:r>
    <w:r w:rsidRPr="00E154A1">
      <w:rPr>
        <w:i/>
        <w:color w:val="632423" w:themeColor="accent2" w:themeShade="80"/>
        <w:sz w:val="24"/>
        <w:szCs w:val="24"/>
      </w:rPr>
      <w:fldChar w:fldCharType="end"/>
    </w:r>
  </w:p>
  <w:p w:rsidR="00626182" w:rsidRPr="00AB01CE" w:rsidRDefault="00626182">
    <w:pPr>
      <w:pStyle w:val="afa"/>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E2" w:rsidRDefault="00B945E2" w:rsidP="0042244C">
      <w:pPr>
        <w:spacing w:line="240" w:lineRule="auto"/>
      </w:pPr>
      <w:r>
        <w:separator/>
      </w:r>
    </w:p>
  </w:footnote>
  <w:footnote w:type="continuationSeparator" w:id="0">
    <w:p w:rsidR="00B945E2" w:rsidRDefault="00B945E2" w:rsidP="00422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626182" w:rsidRPr="00AB01CE" w:rsidRDefault="00626182"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 Имекского сельсовета</w:t>
        </w:r>
      </w:p>
    </w:sdtContent>
  </w:sdt>
  <w:p w:rsidR="00626182" w:rsidRPr="004B7628" w:rsidRDefault="00626182">
    <w:pPr>
      <w:pStyle w:val="af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3EA1"/>
    <w:rsid w:val="000F4280"/>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AEA"/>
    <w:rsid w:val="00180EB2"/>
    <w:rsid w:val="001821C9"/>
    <w:rsid w:val="001840F3"/>
    <w:rsid w:val="00186B08"/>
    <w:rsid w:val="00187F4C"/>
    <w:rsid w:val="0019066A"/>
    <w:rsid w:val="001A4F38"/>
    <w:rsid w:val="001B1886"/>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E7509"/>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2047C"/>
    <w:rsid w:val="00327A1F"/>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6E60"/>
    <w:rsid w:val="003A0331"/>
    <w:rsid w:val="003A0D91"/>
    <w:rsid w:val="003A16D3"/>
    <w:rsid w:val="003A4013"/>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20039"/>
    <w:rsid w:val="0042223D"/>
    <w:rsid w:val="0042244C"/>
    <w:rsid w:val="00422B10"/>
    <w:rsid w:val="00422BBA"/>
    <w:rsid w:val="00422D43"/>
    <w:rsid w:val="00422EB5"/>
    <w:rsid w:val="004244FA"/>
    <w:rsid w:val="00432F93"/>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2EE8"/>
    <w:rsid w:val="004931E4"/>
    <w:rsid w:val="00493E2E"/>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D0"/>
    <w:rsid w:val="005C4D5E"/>
    <w:rsid w:val="005C7024"/>
    <w:rsid w:val="005D2834"/>
    <w:rsid w:val="005D2916"/>
    <w:rsid w:val="005D2F2E"/>
    <w:rsid w:val="005D4806"/>
    <w:rsid w:val="005D505A"/>
    <w:rsid w:val="005D517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26182"/>
    <w:rsid w:val="006303E4"/>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26C7"/>
    <w:rsid w:val="00793A7D"/>
    <w:rsid w:val="007A7450"/>
    <w:rsid w:val="007B03D5"/>
    <w:rsid w:val="007B2DB3"/>
    <w:rsid w:val="007B3D48"/>
    <w:rsid w:val="007B4A94"/>
    <w:rsid w:val="007B6A7F"/>
    <w:rsid w:val="007C284B"/>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D81"/>
    <w:rsid w:val="00804323"/>
    <w:rsid w:val="008074E3"/>
    <w:rsid w:val="00812DA7"/>
    <w:rsid w:val="00815D43"/>
    <w:rsid w:val="00817485"/>
    <w:rsid w:val="008248AC"/>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D5EA1"/>
    <w:rsid w:val="008E3E3F"/>
    <w:rsid w:val="008E4FAE"/>
    <w:rsid w:val="008E69FC"/>
    <w:rsid w:val="008E6B1D"/>
    <w:rsid w:val="008F47A0"/>
    <w:rsid w:val="008F6F67"/>
    <w:rsid w:val="00901219"/>
    <w:rsid w:val="00901671"/>
    <w:rsid w:val="00901906"/>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3229"/>
    <w:rsid w:val="009C4583"/>
    <w:rsid w:val="009C4967"/>
    <w:rsid w:val="009C4F2C"/>
    <w:rsid w:val="009E4432"/>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418FB"/>
    <w:rsid w:val="00A4227F"/>
    <w:rsid w:val="00A42901"/>
    <w:rsid w:val="00A458A1"/>
    <w:rsid w:val="00A46F02"/>
    <w:rsid w:val="00A472FE"/>
    <w:rsid w:val="00A51AD8"/>
    <w:rsid w:val="00A51B29"/>
    <w:rsid w:val="00A51C29"/>
    <w:rsid w:val="00A532F2"/>
    <w:rsid w:val="00A54C29"/>
    <w:rsid w:val="00A574C2"/>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1CD3"/>
    <w:rsid w:val="00B0451B"/>
    <w:rsid w:val="00B04B5B"/>
    <w:rsid w:val="00B06729"/>
    <w:rsid w:val="00B07548"/>
    <w:rsid w:val="00B10C90"/>
    <w:rsid w:val="00B13A45"/>
    <w:rsid w:val="00B15C3D"/>
    <w:rsid w:val="00B16FFB"/>
    <w:rsid w:val="00B21B2F"/>
    <w:rsid w:val="00B22C5E"/>
    <w:rsid w:val="00B23273"/>
    <w:rsid w:val="00B23281"/>
    <w:rsid w:val="00B23538"/>
    <w:rsid w:val="00B2741C"/>
    <w:rsid w:val="00B30076"/>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945E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6B7A"/>
    <w:rsid w:val="00CF78DE"/>
    <w:rsid w:val="00D01AD9"/>
    <w:rsid w:val="00D111CB"/>
    <w:rsid w:val="00D12144"/>
    <w:rsid w:val="00D12CE5"/>
    <w:rsid w:val="00D15171"/>
    <w:rsid w:val="00D217A4"/>
    <w:rsid w:val="00D25C38"/>
    <w:rsid w:val="00D32C4F"/>
    <w:rsid w:val="00D347C4"/>
    <w:rsid w:val="00D40891"/>
    <w:rsid w:val="00D42799"/>
    <w:rsid w:val="00D45C01"/>
    <w:rsid w:val="00D460D9"/>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4799"/>
    <w:rsid w:val="00FF55AE"/>
    <w:rsid w:val="00FF6A80"/>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9B1E3"/>
  <w15:docId w15:val="{CFE44C08-E456-4BF5-8B7A-1F2BD572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5CE5AE-6DA9-4A49-B61D-806413A7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22280</Words>
  <Characters>127002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37</cp:revision>
  <cp:lastPrinted>2017-02-14T02:01:00Z</cp:lastPrinted>
  <dcterms:created xsi:type="dcterms:W3CDTF">2013-02-08T01:48:00Z</dcterms:created>
  <dcterms:modified xsi:type="dcterms:W3CDTF">2019-07-23T08:41:00Z</dcterms:modified>
  <cp:contentStatus/>
</cp:coreProperties>
</file>