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95576A">
      <w:pPr>
        <w:tabs>
          <w:tab w:val="left" w:pos="39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E10BDE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BDE">
        <w:rPr>
          <w:rFonts w:ascii="Times New Roman" w:hAnsi="Times New Roman" w:cs="Times New Roman"/>
          <w:sz w:val="26"/>
          <w:szCs w:val="26"/>
        </w:rPr>
        <w:t>09.02.2017</w:t>
      </w:r>
      <w:r w:rsidR="00B93F8C" w:rsidRPr="009557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A2C77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93F8C" w:rsidRPr="00E10BDE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04FAF">
        <w:rPr>
          <w:rFonts w:ascii="Times New Roman" w:hAnsi="Times New Roman" w:cs="Times New Roman"/>
          <w:sz w:val="26"/>
          <w:szCs w:val="26"/>
        </w:rPr>
        <w:t>7</w:t>
      </w:r>
      <w:r w:rsidR="00B93F8C" w:rsidRPr="009557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</w:t>
      </w:r>
    </w:p>
    <w:p w:rsidR="00B93F8C" w:rsidRDefault="003466F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от 24.11.2016г. № 224 «О проекте внесения изменений и дополнений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сельсовета» согласно приложению (прилагается).</w:t>
      </w:r>
    </w:p>
    <w:p w:rsidR="004B299D" w:rsidRPr="00B93F8C" w:rsidRDefault="004B299D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Просить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466FC">
        <w:rPr>
          <w:rFonts w:ascii="Times New Roman" w:hAnsi="Times New Roman" w:cs="Times New Roman"/>
          <w:sz w:val="26"/>
          <w:szCs w:val="26"/>
        </w:rPr>
        <w:t xml:space="preserve"> рассмотреть и утвердить постановление Администрации </w:t>
      </w:r>
      <w:proofErr w:type="spellStart"/>
      <w:r w:rsid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3466FC">
        <w:rPr>
          <w:rFonts w:ascii="Times New Roman" w:hAnsi="Times New Roman" w:cs="Times New Roman"/>
          <w:sz w:val="26"/>
          <w:szCs w:val="26"/>
        </w:rPr>
        <w:t xml:space="preserve"> сельсовета от 24.11.2016г. № 224 «О проекте внесения изменений и дополнений в Правила землепользования и застройки </w:t>
      </w:r>
      <w:proofErr w:type="spellStart"/>
      <w:r w:rsid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3466FC">
        <w:rPr>
          <w:rFonts w:ascii="Times New Roman" w:hAnsi="Times New Roman" w:cs="Times New Roman"/>
          <w:sz w:val="26"/>
          <w:szCs w:val="26"/>
        </w:rPr>
        <w:t xml:space="preserve"> сельсовета».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E10BDE" w:rsidRPr="00E10BDE" w:rsidRDefault="00B93F8C" w:rsidP="00E10BDE">
      <w:pPr>
        <w:pStyle w:val="a7"/>
        <w:numPr>
          <w:ilvl w:val="0"/>
          <w:numId w:val="1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10BDE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E10BDE" w:rsidRDefault="00E10BDE" w:rsidP="00E10BDE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10BDE" w:rsidRDefault="00E10BDE" w:rsidP="00E10BDE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10BDE" w:rsidRPr="00E10BDE" w:rsidRDefault="00E10BDE" w:rsidP="00E10BDE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Г.Г.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Тодинов</w:t>
      </w:r>
      <w:proofErr w:type="spellEnd"/>
    </w:p>
    <w:p w:rsidR="004B299D" w:rsidRDefault="00B93F8C" w:rsidP="007269D5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269D5">
        <w:rPr>
          <w:sz w:val="26"/>
          <w:szCs w:val="26"/>
        </w:rPr>
        <w:t xml:space="preserve">                              </w:t>
      </w:r>
    </w:p>
    <w:p w:rsidR="007269D5" w:rsidRDefault="007269D5" w:rsidP="007269D5">
      <w:pPr>
        <w:pStyle w:val="a0"/>
      </w:pPr>
    </w:p>
    <w:p w:rsidR="004B299D" w:rsidRDefault="004B299D" w:rsidP="003466FC">
      <w:pPr>
        <w:pStyle w:val="1"/>
        <w:tabs>
          <w:tab w:val="clear" w:pos="0"/>
        </w:tabs>
        <w:spacing w:before="0" w:after="0"/>
        <w:ind w:left="0" w:firstLine="0"/>
        <w:rPr>
          <w:rFonts w:eastAsia="Andale Sans UI" w:cs="Times New Roman"/>
          <w:b w:val="0"/>
          <w:bCs w:val="0"/>
          <w:sz w:val="24"/>
          <w:szCs w:val="24"/>
        </w:rPr>
      </w:pPr>
    </w:p>
    <w:p w:rsidR="003466FC" w:rsidRDefault="003466FC" w:rsidP="003466FC">
      <w:pPr>
        <w:pStyle w:val="a0"/>
      </w:pPr>
    </w:p>
    <w:p w:rsidR="003466FC" w:rsidRPr="003466FC" w:rsidRDefault="003466FC" w:rsidP="003466FC">
      <w:pPr>
        <w:pStyle w:val="a0"/>
      </w:pPr>
    </w:p>
    <w:p w:rsidR="004B299D" w:rsidRDefault="004B299D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</w:p>
    <w:p w:rsidR="00E10BDE" w:rsidRPr="00E10BDE" w:rsidRDefault="00E10BDE" w:rsidP="00E10BDE">
      <w:pPr>
        <w:pStyle w:val="a0"/>
      </w:pPr>
    </w:p>
    <w:p w:rsidR="00B93F8C" w:rsidRPr="00696BF5" w:rsidRDefault="007269D5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B93F8C">
        <w:rPr>
          <w:sz w:val="26"/>
          <w:szCs w:val="26"/>
        </w:rPr>
        <w:t xml:space="preserve">   </w:t>
      </w:r>
      <w:r w:rsidR="00B93F8C" w:rsidRPr="00696BF5">
        <w:rPr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3466FC" w:rsidRDefault="00B93F8C" w:rsidP="00504FAF">
      <w:pPr>
        <w:pStyle w:val="a0"/>
        <w:spacing w:after="0"/>
        <w:jc w:val="right"/>
        <w:rPr>
          <w:sz w:val="26"/>
          <w:szCs w:val="26"/>
        </w:rPr>
      </w:pPr>
      <w:r w:rsidRPr="00504FAF">
        <w:rPr>
          <w:sz w:val="26"/>
          <w:szCs w:val="26"/>
        </w:rPr>
        <w:t>от  «</w:t>
      </w:r>
      <w:r w:rsidR="00504FAF" w:rsidRPr="00504FAF">
        <w:rPr>
          <w:sz w:val="26"/>
          <w:szCs w:val="26"/>
        </w:rPr>
        <w:t>09</w:t>
      </w:r>
      <w:r w:rsidRPr="00504FAF">
        <w:rPr>
          <w:sz w:val="26"/>
          <w:szCs w:val="26"/>
        </w:rPr>
        <w:t xml:space="preserve">» </w:t>
      </w:r>
      <w:r w:rsidR="00504FAF" w:rsidRPr="00504FAF">
        <w:rPr>
          <w:sz w:val="26"/>
          <w:szCs w:val="26"/>
        </w:rPr>
        <w:t>февраля</w:t>
      </w:r>
      <w:r w:rsidRPr="00504FAF">
        <w:rPr>
          <w:sz w:val="26"/>
          <w:szCs w:val="26"/>
        </w:rPr>
        <w:t xml:space="preserve"> 2016г  № </w:t>
      </w:r>
      <w:r w:rsidR="00504FAF" w:rsidRPr="00504FAF">
        <w:rPr>
          <w:sz w:val="26"/>
          <w:szCs w:val="26"/>
        </w:rPr>
        <w:t>2</w:t>
      </w:r>
      <w:r w:rsidR="00504FAF">
        <w:rPr>
          <w:sz w:val="26"/>
          <w:szCs w:val="26"/>
        </w:rPr>
        <w:t>7</w:t>
      </w:r>
    </w:p>
    <w:p w:rsidR="00504FAF" w:rsidRPr="003466FC" w:rsidRDefault="00504FAF" w:rsidP="00504FAF">
      <w:pPr>
        <w:pStyle w:val="a0"/>
        <w:spacing w:after="0"/>
        <w:jc w:val="right"/>
        <w:rPr>
          <w:sz w:val="26"/>
          <w:szCs w:val="26"/>
        </w:rPr>
      </w:pP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3466F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466FC">
        <w:rPr>
          <w:rFonts w:ascii="Times New Roman" w:hAnsi="Times New Roman" w:cs="Times New Roman"/>
          <w:sz w:val="26"/>
          <w:szCs w:val="26"/>
        </w:rPr>
        <w:t xml:space="preserve">  ПРОЕКТ ИЗМЕНЕНИЙ и ДОПОЛНЕНИЙ</w:t>
      </w: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           в Правила землепользования и застройки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Название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изложить в следующей редакции: «Глава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466FC">
        <w:rPr>
          <w:rFonts w:ascii="Times New Roman" w:hAnsi="Times New Roman" w:cs="Times New Roman"/>
          <w:sz w:val="26"/>
          <w:szCs w:val="26"/>
        </w:rPr>
        <w:t>. Подготовка документации по планировке территории органами местного самоуправления».</w:t>
      </w: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</w:t>
      </w:r>
      <w:r w:rsidRPr="003466FC">
        <w:rPr>
          <w:rFonts w:ascii="Times New Roman" w:hAnsi="Times New Roman" w:cs="Times New Roman"/>
          <w:sz w:val="26"/>
          <w:szCs w:val="26"/>
        </w:rPr>
        <w:t>. пп.3,п.п.20.5 изложить в новой редакции:</w:t>
      </w: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3. п.п. 20.5  Границы образуемых и изменяемых земельных участков на кадастровом плане территории, условные номера образуемых земельных участков».</w:t>
      </w:r>
    </w:p>
    <w:p w:rsidR="003466FC" w:rsidRPr="003466FC" w:rsidRDefault="003466FC" w:rsidP="003466F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3</w:t>
      </w:r>
      <w:r w:rsidRPr="003466FC">
        <w:rPr>
          <w:rFonts w:ascii="Times New Roman" w:hAnsi="Times New Roman" w:cs="Times New Roman"/>
          <w:sz w:val="26"/>
          <w:szCs w:val="26"/>
        </w:rPr>
        <w:t xml:space="preserve">.  пп.4, пп.5 п.20.5 ст.20 Правил землепользования и застройки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удалить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4</w:t>
      </w:r>
      <w:r w:rsidRPr="003466FC">
        <w:rPr>
          <w:rFonts w:ascii="Times New Roman" w:hAnsi="Times New Roman" w:cs="Times New Roman"/>
          <w:sz w:val="26"/>
          <w:szCs w:val="26"/>
        </w:rPr>
        <w:t>. пп.1,2,3 п. 25.2статьи 25 изложить в новой редакции: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«пп.1 п. 25.2 статьи 25 территории, подлежащей комплексному освоению в соответствии с договором о комплексном освоении»;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2) 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. 2 п. 25.2 статьи 25 территории в границах земельного участка, предоставленного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некомерческой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организации, созданной гражданами для ведения садоводства, огородничества, дачного хозяйства или для ведения дачного хозяйства иному юридическому лицу»;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3) «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>. 3  п. 25.2 статьи 25территории для размещения линейных объектов в границах земель лесного фонда».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5</w:t>
      </w:r>
      <w:r w:rsidRPr="003466FC">
        <w:rPr>
          <w:rFonts w:ascii="Times New Roman" w:hAnsi="Times New Roman" w:cs="Times New Roman"/>
          <w:sz w:val="26"/>
          <w:szCs w:val="26"/>
        </w:rPr>
        <w:t xml:space="preserve">. 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дополнить: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«4 абзац п. 25.5 ст. 25 главы </w:t>
      </w:r>
      <w:r w:rsidRPr="003466FC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466FC">
        <w:rPr>
          <w:rFonts w:ascii="Times New Roman" w:hAnsi="Times New Roman" w:cs="Times New Roman"/>
          <w:sz w:val="26"/>
          <w:szCs w:val="26"/>
        </w:rPr>
        <w:t xml:space="preserve"> 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семи дней со дня утверждения указанной документации и размещается на официальном сайте Администрации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 в сети «Интернет».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6</w:t>
      </w:r>
      <w:r w:rsidRPr="003466FC">
        <w:rPr>
          <w:rFonts w:ascii="Times New Roman" w:hAnsi="Times New Roman" w:cs="Times New Roman"/>
          <w:sz w:val="26"/>
          <w:szCs w:val="26"/>
        </w:rPr>
        <w:t>. 3 абзац п.27.7 ст. 27 изложить в следующей редакции: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66FC">
        <w:rPr>
          <w:rFonts w:ascii="Times New Roman" w:hAnsi="Times New Roman" w:cs="Times New Roman"/>
          <w:sz w:val="26"/>
          <w:szCs w:val="26"/>
        </w:rPr>
        <w:t>«3 абзац п.27.7 ст. 27 Срок действия предоставленных технических условий и срок внесения платы за такое подключений (технологическое присоединение) устанавливаются организациями, осуществляющими эксплуатацию сетей инженерно-технического обеспечения, не менее чем на три года или при комплексном освоении земельных участков в целях жилищного строительства не менее чем на пять лет, за исключением случаев, предусмотренных законодательством.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Правообладатель земельного участка в течени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одного года или при комплексном освоении земельного участка в целях жилищного строительства в течении трех лет с момента предоставления технических условий и информации о плате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Pr="003466FC">
        <w:rPr>
          <w:rFonts w:ascii="Times New Roman" w:hAnsi="Times New Roman" w:cs="Times New Roman"/>
          <w:sz w:val="26"/>
          <w:szCs w:val="26"/>
        </w:rPr>
        <w:t>. п.35.1 ст.35 изложить в следующей редакции: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« п.35.1 Комиссия в течении тридцати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сельсовета. 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Глава </w:t>
      </w:r>
      <w:proofErr w:type="spellStart"/>
      <w:r w:rsidRPr="003466F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3466FC">
        <w:rPr>
          <w:rFonts w:ascii="Times New Roman" w:hAnsi="Times New Roman" w:cs="Times New Roman"/>
          <w:sz w:val="26"/>
          <w:szCs w:val="26"/>
        </w:rPr>
        <w:t xml:space="preserve"> сельсовета с учетом рекомендаций, содержащихся в заключени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комиссии,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 заявителям». </w:t>
      </w:r>
      <w:r w:rsidRPr="003466FC">
        <w:rPr>
          <w:rFonts w:ascii="Times New Roman" w:hAnsi="Times New Roman" w:cs="Times New Roman"/>
          <w:sz w:val="26"/>
          <w:szCs w:val="26"/>
        </w:rPr>
        <w:tab/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8</w:t>
      </w:r>
      <w:r w:rsidRPr="003466FC">
        <w:rPr>
          <w:rFonts w:ascii="Times New Roman" w:hAnsi="Times New Roman" w:cs="Times New Roman"/>
          <w:sz w:val="26"/>
          <w:szCs w:val="26"/>
        </w:rPr>
        <w:t>. Из статьи 40 исключить: Зоны инженерной и транспортной инфраструктуры.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1) В таблице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: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а) обозначение зоны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изменить на ОД-1;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б) зону СХ-2 -  исключить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В ст..46.1. для зоны Ж-1 перед п.5 Архитектурно-строительные требования вставить: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3466FC" w:rsidRPr="003466FC" w:rsidTr="00DE3E6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3466FC" w:rsidRPr="003466FC" w:rsidTr="00DE3E6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 xml:space="preserve">       Из текста п.5 исключить повторяющиеся параметры. 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9</w:t>
      </w:r>
      <w:r w:rsidRPr="003466FC">
        <w:rPr>
          <w:rFonts w:ascii="Times New Roman" w:hAnsi="Times New Roman" w:cs="Times New Roman"/>
          <w:sz w:val="26"/>
          <w:szCs w:val="26"/>
        </w:rPr>
        <w:t>. В ст..46.2 для зоны Ж-2  перед п.5 Архитектурно-строительные требования вставить: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3466FC" w:rsidRPr="003466FC" w:rsidTr="00DE3E6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</w:t>
            </w:r>
            <w:r w:rsidRPr="003466FC">
              <w:rPr>
                <w:sz w:val="26"/>
                <w:szCs w:val="26"/>
              </w:rPr>
              <w:lastRenderedPageBreak/>
              <w:t xml:space="preserve">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7м</w:t>
            </w:r>
          </w:p>
        </w:tc>
      </w:tr>
      <w:tr w:rsidR="003466FC" w:rsidRPr="003466FC" w:rsidTr="00DE3E6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Из текста п.5 исключить повторяющиеся параметры.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10</w:t>
      </w:r>
      <w:r w:rsidRPr="003466FC">
        <w:rPr>
          <w:rFonts w:ascii="Times New Roman" w:hAnsi="Times New Roman" w:cs="Times New Roman"/>
          <w:sz w:val="26"/>
          <w:szCs w:val="26"/>
        </w:rPr>
        <w:t>. В ст..46.3 для зоны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 xml:space="preserve"> Ж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- 3, вместо  п.5 Архитектурно-строительные требования вставить: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5"/>
        <w:gridCol w:w="5929"/>
        <w:gridCol w:w="3323"/>
      </w:tblGrid>
      <w:tr w:rsidR="003466FC" w:rsidRPr="003466FC" w:rsidTr="00DE3E61">
        <w:tc>
          <w:tcPr>
            <w:tcW w:w="6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1.</w:t>
            </w:r>
          </w:p>
        </w:tc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Минимальные размеры земельных участков</w:t>
            </w:r>
          </w:p>
        </w:tc>
        <w:tc>
          <w:tcPr>
            <w:tcW w:w="3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0,06га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Максимальные размеры земельных участков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0,25га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2.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Минимальный отступ от передней границы земельного участка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3м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В том числе на магистральных улицах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6м</w:t>
            </w:r>
          </w:p>
        </w:tc>
      </w:tr>
      <w:tr w:rsidR="003466FC" w:rsidRPr="003466FC" w:rsidTr="00DE3E61">
        <w:tc>
          <w:tcPr>
            <w:tcW w:w="68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3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Максимальное количество этажей, не считая </w:t>
            </w:r>
            <w:proofErr w:type="gramStart"/>
            <w:r w:rsidRPr="003466FC">
              <w:rPr>
                <w:sz w:val="26"/>
                <w:szCs w:val="26"/>
              </w:rPr>
              <w:t>мансардного</w:t>
            </w:r>
            <w:proofErr w:type="gramEnd"/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2</w:t>
            </w:r>
          </w:p>
        </w:tc>
      </w:tr>
      <w:tr w:rsidR="003466FC" w:rsidRPr="003466FC" w:rsidTr="00DE3E61">
        <w:tc>
          <w:tcPr>
            <w:tcW w:w="6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 xml:space="preserve">Максимальная высота зданий от уровня земли до верха перекрытия последнего этажа 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7м</w:t>
            </w:r>
          </w:p>
        </w:tc>
      </w:tr>
      <w:tr w:rsidR="003466FC" w:rsidRPr="003466FC" w:rsidTr="00DE3E61">
        <w:tc>
          <w:tcPr>
            <w:tcW w:w="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4</w:t>
            </w:r>
          </w:p>
        </w:tc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Максимальный процент застройки территории</w:t>
            </w:r>
          </w:p>
        </w:tc>
        <w:tc>
          <w:tcPr>
            <w:tcW w:w="33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66FC" w:rsidRPr="003466FC" w:rsidRDefault="003466FC" w:rsidP="00DE3E61">
            <w:pPr>
              <w:pStyle w:val="a6"/>
              <w:snapToGrid w:val="0"/>
              <w:rPr>
                <w:sz w:val="26"/>
                <w:szCs w:val="26"/>
              </w:rPr>
            </w:pPr>
            <w:r w:rsidRPr="003466FC">
              <w:rPr>
                <w:sz w:val="26"/>
                <w:szCs w:val="26"/>
              </w:rPr>
              <w:t>60%</w:t>
            </w:r>
          </w:p>
        </w:tc>
      </w:tr>
    </w:tbl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11.</w:t>
      </w:r>
      <w:r w:rsidRPr="003466FC">
        <w:rPr>
          <w:rFonts w:ascii="Times New Roman" w:hAnsi="Times New Roman" w:cs="Times New Roman"/>
          <w:sz w:val="26"/>
          <w:szCs w:val="26"/>
        </w:rPr>
        <w:t xml:space="preserve"> В ст..46.4 для зоны Ж-4 «Виды разрешенного использования земельных участков не предусмотрены. 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Предельные параметры земельных участков и объектов капитального строительства не предусмотрены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12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ст..47.1 для зоны ОД-1 исключить  п.5 Архитектурно-строительные требования. 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13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 ст..47.2 для зоны ЦО исключить  п.5 Архитектурно-строительные требования. 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14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В ст. 48 для зоны ПК исключить  п.4 Архитектурно-строительные требования. 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t>«Предельные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15</w:t>
      </w:r>
      <w:r w:rsidRPr="003466FC">
        <w:rPr>
          <w:rFonts w:ascii="Times New Roman" w:hAnsi="Times New Roman" w:cs="Times New Roman"/>
          <w:sz w:val="26"/>
          <w:szCs w:val="26"/>
        </w:rPr>
        <w:t>. В ст. 49 «для зоны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16</w:t>
      </w:r>
      <w:r w:rsidRPr="003466FC">
        <w:rPr>
          <w:rFonts w:ascii="Times New Roman" w:hAnsi="Times New Roman" w:cs="Times New Roman"/>
          <w:sz w:val="26"/>
          <w:szCs w:val="26"/>
        </w:rPr>
        <w:t xml:space="preserve"> . Исключить ст.50 Зоны транспортной инфраструктуры.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17</w:t>
      </w:r>
      <w:r w:rsidRPr="003466FC">
        <w:rPr>
          <w:rFonts w:ascii="Times New Roman" w:hAnsi="Times New Roman" w:cs="Times New Roman"/>
          <w:sz w:val="26"/>
          <w:szCs w:val="26"/>
        </w:rPr>
        <w:t>. в ст. 51.1 « для зоны СХ-1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18</w:t>
      </w:r>
      <w:r w:rsidRPr="003466FC">
        <w:rPr>
          <w:rFonts w:ascii="Times New Roman" w:hAnsi="Times New Roman" w:cs="Times New Roman"/>
          <w:sz w:val="26"/>
          <w:szCs w:val="26"/>
        </w:rPr>
        <w:t>. Исключить ст.51.2. Регламенты зоны объектов сельскохозяйственного назначения.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19</w:t>
      </w:r>
      <w:r w:rsidRPr="003466FC">
        <w:rPr>
          <w:rFonts w:ascii="Times New Roman" w:hAnsi="Times New Roman" w:cs="Times New Roman"/>
          <w:sz w:val="26"/>
          <w:szCs w:val="26"/>
        </w:rPr>
        <w:t>. В ст. 52.1 «для зоны Р-1 предельные параметры земельных участков и объектов капитального строительства не предусмотрены»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6F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466FC">
        <w:rPr>
          <w:rFonts w:ascii="Times New Roman" w:hAnsi="Times New Roman" w:cs="Times New Roman"/>
          <w:sz w:val="26"/>
          <w:szCs w:val="26"/>
        </w:rPr>
        <w:t>.4. Архитектурно-строительные требования исключить.</w:t>
      </w:r>
    </w:p>
    <w:p w:rsidR="003466FC" w:rsidRPr="003466FC" w:rsidRDefault="003466FC" w:rsidP="003466FC">
      <w:pPr>
        <w:spacing w:after="0" w:line="100" w:lineRule="atLeast"/>
        <w:ind w:left="16" w:hanging="16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20</w:t>
      </w:r>
      <w:r w:rsidRPr="003466FC">
        <w:rPr>
          <w:rFonts w:ascii="Times New Roman" w:hAnsi="Times New Roman" w:cs="Times New Roman"/>
          <w:sz w:val="26"/>
          <w:szCs w:val="26"/>
        </w:rPr>
        <w:t xml:space="preserve">. В ст. 52.2 для зоны Р-2 исключить  п.4 Архитектурно-строительные требования. 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sz w:val="26"/>
          <w:szCs w:val="26"/>
        </w:rPr>
        <w:lastRenderedPageBreak/>
        <w:t>«Предельные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21</w:t>
      </w:r>
      <w:r w:rsidRPr="003466FC">
        <w:rPr>
          <w:rFonts w:ascii="Times New Roman" w:hAnsi="Times New Roman" w:cs="Times New Roman"/>
          <w:sz w:val="26"/>
          <w:szCs w:val="26"/>
        </w:rPr>
        <w:t>. В ст. 53 «для зоны С-1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22</w:t>
      </w:r>
      <w:r w:rsidRPr="003466FC">
        <w:rPr>
          <w:rFonts w:ascii="Times New Roman" w:hAnsi="Times New Roman" w:cs="Times New Roman"/>
          <w:sz w:val="26"/>
          <w:szCs w:val="26"/>
        </w:rPr>
        <w:t>. В ст.53.2  «для зоны С-2 условно разрешенные виды использования земельных участков не предусмотрены, 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23</w:t>
      </w:r>
      <w:r w:rsidRPr="003466FC">
        <w:rPr>
          <w:rFonts w:ascii="Times New Roman" w:hAnsi="Times New Roman" w:cs="Times New Roman"/>
          <w:sz w:val="26"/>
          <w:szCs w:val="26"/>
        </w:rPr>
        <w:t>. В ст.55 « для зоны ОК вспомогательные и условно-разрешенные виды использования земельных участков не установлены.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24</w:t>
      </w:r>
      <w:r w:rsidRPr="003466FC">
        <w:rPr>
          <w:rFonts w:ascii="Times New Roman" w:hAnsi="Times New Roman" w:cs="Times New Roman"/>
          <w:sz w:val="26"/>
          <w:szCs w:val="26"/>
        </w:rPr>
        <w:t>. В ст. 56 «для зоны В-1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466FC">
        <w:rPr>
          <w:rFonts w:ascii="Times New Roman" w:hAnsi="Times New Roman" w:cs="Times New Roman"/>
          <w:b/>
          <w:sz w:val="26"/>
          <w:szCs w:val="26"/>
        </w:rPr>
        <w:t>25</w:t>
      </w:r>
      <w:r w:rsidRPr="003466FC">
        <w:rPr>
          <w:rFonts w:ascii="Times New Roman" w:hAnsi="Times New Roman" w:cs="Times New Roman"/>
          <w:sz w:val="26"/>
          <w:szCs w:val="26"/>
        </w:rPr>
        <w:t>. В ст.58 «для зон СЗЗ вспомогательные виды использования земельных участков не установлены.  Предельные параметры земельных участков и объектов капитального строительства  не предусмотрены».</w:t>
      </w:r>
    </w:p>
    <w:p w:rsidR="003466FC" w:rsidRPr="003466FC" w:rsidRDefault="003466FC" w:rsidP="003466FC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66FC" w:rsidRPr="003466FC" w:rsidRDefault="003466FC" w:rsidP="003466FC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466FC" w:rsidRPr="003466FC" w:rsidRDefault="003466FC" w:rsidP="003466FC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3466FC" w:rsidRPr="003466FC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F8C"/>
    <w:rsid w:val="000B4C9C"/>
    <w:rsid w:val="00150879"/>
    <w:rsid w:val="00183A71"/>
    <w:rsid w:val="002118C2"/>
    <w:rsid w:val="003466FC"/>
    <w:rsid w:val="003F3777"/>
    <w:rsid w:val="004B299D"/>
    <w:rsid w:val="00504FAF"/>
    <w:rsid w:val="00512238"/>
    <w:rsid w:val="007269D5"/>
    <w:rsid w:val="007978F7"/>
    <w:rsid w:val="00917976"/>
    <w:rsid w:val="0095576A"/>
    <w:rsid w:val="00A4737C"/>
    <w:rsid w:val="00B93F8C"/>
    <w:rsid w:val="00C44876"/>
    <w:rsid w:val="00D45665"/>
    <w:rsid w:val="00E10BDE"/>
    <w:rsid w:val="00E6746D"/>
    <w:rsid w:val="00E94244"/>
    <w:rsid w:val="00E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a6">
    <w:name w:val="Содержимое таблицы"/>
    <w:basedOn w:val="a"/>
    <w:rsid w:val="003466F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E10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2017-02-14T04:00:00Z</cp:lastPrinted>
  <dcterms:created xsi:type="dcterms:W3CDTF">2016-11-15T03:27:00Z</dcterms:created>
  <dcterms:modified xsi:type="dcterms:W3CDTF">2017-02-14T04:00:00Z</dcterms:modified>
</cp:coreProperties>
</file>